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45B59" w14:textId="77777777" w:rsidR="0048680F" w:rsidRPr="000C5B3E" w:rsidRDefault="0048680F" w:rsidP="00B62582">
      <w:pPr>
        <w:pStyle w:val="PaperTitle"/>
      </w:pPr>
      <w:r w:rsidRPr="000C5B3E">
        <w:t>The prevalence and impacts of violence in community pharmacies: a cross-sectional and qualitative study</w:t>
      </w:r>
    </w:p>
    <w:p w14:paraId="179112E4" w14:textId="77777777" w:rsidR="0048680F" w:rsidRPr="000C5B3E" w:rsidRDefault="0048680F" w:rsidP="0048680F">
      <w:pPr>
        <w:pStyle w:val="PaperAuthor"/>
        <w:rPr>
          <w:rFonts w:cs="Times New Roman"/>
          <w:szCs w:val="24"/>
        </w:rPr>
      </w:pPr>
    </w:p>
    <w:p w14:paraId="338E7917" w14:textId="77777777" w:rsidR="0048680F" w:rsidRPr="000C5B3E" w:rsidRDefault="0048680F" w:rsidP="0048680F">
      <w:pPr>
        <w:pStyle w:val="PaperAuthor"/>
        <w:rPr>
          <w:rFonts w:cs="Times New Roman"/>
          <w:b/>
          <w:bCs/>
          <w:szCs w:val="24"/>
          <w:vertAlign w:val="superscript"/>
        </w:rPr>
      </w:pPr>
      <w:r w:rsidRPr="000C5B3E">
        <w:rPr>
          <w:rFonts w:cs="Times New Roman"/>
          <w:b/>
          <w:bCs/>
          <w:szCs w:val="24"/>
        </w:rPr>
        <w:t>Hilal İLBARS</w:t>
      </w:r>
      <w:r w:rsidRPr="000C5B3E">
        <w:rPr>
          <w:rFonts w:cs="Times New Roman"/>
          <w:b/>
          <w:bCs/>
          <w:szCs w:val="24"/>
          <w:vertAlign w:val="superscript"/>
        </w:rPr>
        <w:t>1</w:t>
      </w:r>
      <w:r w:rsidRPr="000C5B3E">
        <w:rPr>
          <w:rFonts w:cs="Times New Roman"/>
          <w:b/>
          <w:bCs/>
          <w:szCs w:val="24"/>
        </w:rPr>
        <w:t>*, Berna TERZİOĞLU BEBİTOĞLU</w:t>
      </w:r>
      <w:r w:rsidRPr="000C5B3E">
        <w:rPr>
          <w:rFonts w:cs="Times New Roman"/>
          <w:b/>
          <w:bCs/>
          <w:szCs w:val="24"/>
          <w:vertAlign w:val="superscript"/>
        </w:rPr>
        <w:t xml:space="preserve">2 </w:t>
      </w:r>
    </w:p>
    <w:p w14:paraId="7BC82D09" w14:textId="77777777" w:rsidR="0048680F" w:rsidRPr="000C5B3E" w:rsidRDefault="0048680F" w:rsidP="0048680F">
      <w:pPr>
        <w:pStyle w:val="PaperAuthor"/>
        <w:rPr>
          <w:rFonts w:cs="Times New Roman"/>
          <w:b/>
          <w:bCs/>
          <w:szCs w:val="24"/>
        </w:rPr>
      </w:pPr>
      <w:r w:rsidRPr="000C5B3E">
        <w:rPr>
          <w:rFonts w:cs="Times New Roman"/>
          <w:b/>
          <w:bCs/>
          <w:szCs w:val="24"/>
        </w:rPr>
        <w:t>Seyhan HIDIROĞLU</w:t>
      </w:r>
      <w:r w:rsidRPr="000C5B3E">
        <w:rPr>
          <w:rFonts w:cs="Times New Roman"/>
          <w:bCs/>
          <w:szCs w:val="24"/>
          <w:vertAlign w:val="superscript"/>
        </w:rPr>
        <w:t>3</w:t>
      </w:r>
      <w:r w:rsidRPr="000C5B3E">
        <w:rPr>
          <w:rFonts w:cs="Times New Roman"/>
          <w:b/>
          <w:bCs/>
          <w:szCs w:val="24"/>
        </w:rPr>
        <w:t>, Fatma Burcu DOĞANÇ</w:t>
      </w:r>
      <w:r w:rsidRPr="000C5B3E">
        <w:rPr>
          <w:rFonts w:cs="Times New Roman"/>
          <w:bCs/>
          <w:szCs w:val="24"/>
          <w:vertAlign w:val="superscript"/>
        </w:rPr>
        <w:t>3</w:t>
      </w:r>
      <w:r w:rsidRPr="000C5B3E">
        <w:rPr>
          <w:rFonts w:cs="Times New Roman"/>
          <w:b/>
          <w:bCs/>
          <w:szCs w:val="24"/>
        </w:rPr>
        <w:t>, Yağız VAROL</w:t>
      </w:r>
      <w:r w:rsidRPr="000C5B3E">
        <w:rPr>
          <w:rFonts w:cs="Times New Roman"/>
          <w:bCs/>
          <w:szCs w:val="24"/>
          <w:vertAlign w:val="superscript"/>
        </w:rPr>
        <w:t>4</w:t>
      </w:r>
    </w:p>
    <w:p w14:paraId="4974AFA0" w14:textId="77777777" w:rsidR="0048680F" w:rsidRPr="000C5B3E" w:rsidRDefault="0048680F" w:rsidP="0048680F">
      <w:pPr>
        <w:pStyle w:val="PaperAuthor"/>
        <w:rPr>
          <w:rFonts w:cs="Times New Roman"/>
          <w:b/>
          <w:bCs/>
          <w:szCs w:val="24"/>
        </w:rPr>
      </w:pPr>
    </w:p>
    <w:p w14:paraId="1C82629F" w14:textId="77777777" w:rsidR="0048680F" w:rsidRPr="000C5B3E" w:rsidRDefault="0048680F" w:rsidP="0048680F">
      <w:pPr>
        <w:pStyle w:val="Affiliation"/>
        <w:rPr>
          <w:rFonts w:cs="Times New Roman"/>
          <w:szCs w:val="24"/>
          <w:vertAlign w:val="superscript"/>
        </w:rPr>
      </w:pPr>
    </w:p>
    <w:p w14:paraId="510E2AE7" w14:textId="174ADC71" w:rsidR="0048680F" w:rsidRPr="000C5B3E" w:rsidRDefault="0048680F" w:rsidP="0048680F">
      <w:pPr>
        <w:pStyle w:val="Affiliation"/>
        <w:rPr>
          <w:rFonts w:cs="Times New Roman"/>
          <w:szCs w:val="24"/>
        </w:rPr>
      </w:pPr>
      <w:r w:rsidRPr="000C5B3E">
        <w:rPr>
          <w:rFonts w:cs="Times New Roman"/>
          <w:szCs w:val="24"/>
          <w:vertAlign w:val="superscript"/>
        </w:rPr>
        <w:t>1</w:t>
      </w:r>
      <w:r w:rsidRPr="000C5B3E">
        <w:rPr>
          <w:rFonts w:cs="Times New Roman"/>
          <w:szCs w:val="24"/>
        </w:rPr>
        <w:t xml:space="preserve">Faculty of Pharmacy, </w:t>
      </w:r>
      <w:r w:rsidRPr="000C5B3E">
        <w:rPr>
          <w:bCs/>
        </w:rPr>
        <w:t>Başkent University, Ankara, T</w:t>
      </w:r>
      <w:r w:rsidR="00D3109B" w:rsidRPr="000C5B3E">
        <w:rPr>
          <w:bCs/>
        </w:rPr>
        <w:t>u</w:t>
      </w:r>
      <w:r w:rsidRPr="000C5B3E">
        <w:rPr>
          <w:bCs/>
        </w:rPr>
        <w:t>rkiye</w:t>
      </w:r>
    </w:p>
    <w:p w14:paraId="2790C227" w14:textId="54B31203" w:rsidR="0048680F" w:rsidRPr="000C5B3E" w:rsidRDefault="0048680F" w:rsidP="0048680F">
      <w:pPr>
        <w:pStyle w:val="Affiliation"/>
        <w:rPr>
          <w:bCs/>
        </w:rPr>
      </w:pPr>
      <w:r w:rsidRPr="000C5B3E">
        <w:rPr>
          <w:rFonts w:cs="Times New Roman"/>
          <w:szCs w:val="24"/>
          <w:vertAlign w:val="superscript"/>
        </w:rPr>
        <w:t>2</w:t>
      </w:r>
      <w:r w:rsidRPr="000C5B3E">
        <w:rPr>
          <w:bCs/>
        </w:rPr>
        <w:t>Department of Medical Pharmacology, Faculty of Medicine, Marmara University, İstanbul, T</w:t>
      </w:r>
      <w:r w:rsidR="00B32584" w:rsidRPr="000C5B3E">
        <w:rPr>
          <w:bCs/>
        </w:rPr>
        <w:t>u</w:t>
      </w:r>
      <w:r w:rsidRPr="000C5B3E">
        <w:rPr>
          <w:bCs/>
        </w:rPr>
        <w:t>rkiye</w:t>
      </w:r>
    </w:p>
    <w:p w14:paraId="77750AA9" w14:textId="0C0AB04F" w:rsidR="0048680F" w:rsidRPr="000C5B3E" w:rsidRDefault="0048680F" w:rsidP="0048680F">
      <w:pPr>
        <w:pStyle w:val="Affiliation"/>
        <w:rPr>
          <w:rFonts w:cs="Times New Roman"/>
          <w:szCs w:val="24"/>
        </w:rPr>
      </w:pPr>
      <w:r w:rsidRPr="000C5B3E">
        <w:rPr>
          <w:rFonts w:cs="Times New Roman"/>
          <w:szCs w:val="24"/>
          <w:vertAlign w:val="superscript"/>
        </w:rPr>
        <w:t>3</w:t>
      </w:r>
      <w:r w:rsidRPr="000C5B3E">
        <w:rPr>
          <w:bCs/>
        </w:rPr>
        <w:t>Department of Public Health, Faculty of Medicine, Marmara University, İstanbul, T</w:t>
      </w:r>
      <w:r w:rsidR="00B32584" w:rsidRPr="000C5B3E">
        <w:rPr>
          <w:bCs/>
        </w:rPr>
        <w:t>u</w:t>
      </w:r>
      <w:r w:rsidRPr="000C5B3E">
        <w:rPr>
          <w:bCs/>
        </w:rPr>
        <w:t>rkiye</w:t>
      </w:r>
    </w:p>
    <w:p w14:paraId="6026F3F2" w14:textId="3ED0ED67" w:rsidR="0048680F" w:rsidRPr="000C5B3E" w:rsidRDefault="0048680F" w:rsidP="0048680F">
      <w:pPr>
        <w:pStyle w:val="Affiliation"/>
        <w:rPr>
          <w:rFonts w:cs="Times New Roman"/>
          <w:szCs w:val="24"/>
        </w:rPr>
      </w:pPr>
      <w:r w:rsidRPr="000C5B3E">
        <w:rPr>
          <w:rFonts w:cs="Times New Roman"/>
          <w:szCs w:val="24"/>
          <w:vertAlign w:val="superscript"/>
        </w:rPr>
        <w:t>4</w:t>
      </w:r>
      <w:r w:rsidRPr="000C5B3E">
        <w:rPr>
          <w:bCs/>
        </w:rPr>
        <w:t>Faculty of Medicine, Marmara University, İstanbul, T</w:t>
      </w:r>
      <w:r w:rsidR="00B32584" w:rsidRPr="000C5B3E">
        <w:rPr>
          <w:bCs/>
        </w:rPr>
        <w:t>u</w:t>
      </w:r>
      <w:r w:rsidRPr="000C5B3E">
        <w:rPr>
          <w:bCs/>
        </w:rPr>
        <w:t>rkiye</w:t>
      </w:r>
    </w:p>
    <w:p w14:paraId="5169832C" w14:textId="77777777" w:rsidR="0048680F" w:rsidRPr="000C5B3E" w:rsidRDefault="0048680F" w:rsidP="0048680F">
      <w:pPr>
        <w:pStyle w:val="NormalWeb"/>
        <w:spacing w:after="0"/>
        <w:jc w:val="both"/>
        <w:rPr>
          <w:b/>
          <w:bCs/>
          <w:lang w:val="en-US"/>
        </w:rPr>
      </w:pPr>
    </w:p>
    <w:p w14:paraId="57DA1D47" w14:textId="77777777" w:rsidR="0048680F" w:rsidRPr="000C5B3E" w:rsidRDefault="0048680F" w:rsidP="0048680F">
      <w:pPr>
        <w:pStyle w:val="Affiliation"/>
        <w:rPr>
          <w:rFonts w:cs="Times New Roman"/>
          <w:szCs w:val="24"/>
        </w:rPr>
      </w:pPr>
      <w:r w:rsidRPr="000C5B3E">
        <w:rPr>
          <w:rFonts w:cs="Times New Roman"/>
          <w:b/>
          <w:bCs/>
          <w:szCs w:val="24"/>
        </w:rPr>
        <w:t>*Correspondence:</w:t>
      </w:r>
      <w:hyperlink r:id="rId7" w:history="1">
        <w:r w:rsidRPr="000C5B3E">
          <w:rPr>
            <w:rStyle w:val="Kpr"/>
            <w:rFonts w:cs="Times New Roman"/>
            <w:szCs w:val="24"/>
          </w:rPr>
          <w:t>hilalilbars@gmail.com</w:t>
        </w:r>
      </w:hyperlink>
    </w:p>
    <w:p w14:paraId="65A21504" w14:textId="77777777" w:rsidR="0048680F" w:rsidRPr="000C5B3E" w:rsidRDefault="0048680F" w:rsidP="0048680F">
      <w:pPr>
        <w:pStyle w:val="Affiliation"/>
        <w:rPr>
          <w:rFonts w:cs="Times New Roman"/>
          <w:szCs w:val="24"/>
        </w:rPr>
      </w:pPr>
    </w:p>
    <w:p w14:paraId="160D2DB2" w14:textId="77777777" w:rsidR="0048680F" w:rsidRPr="000C5B3E" w:rsidRDefault="0048680F" w:rsidP="0048680F">
      <w:pPr>
        <w:pStyle w:val="Affiliation"/>
        <w:jc w:val="left"/>
        <w:rPr>
          <w:rFonts w:cs="Times New Roman"/>
          <w:szCs w:val="24"/>
        </w:rPr>
      </w:pPr>
      <w:r w:rsidRPr="000C5B3E">
        <w:rPr>
          <w:rFonts w:cs="Times New Roman"/>
          <w:szCs w:val="24"/>
        </w:rPr>
        <w:t>ORCIDs:</w:t>
      </w:r>
    </w:p>
    <w:p w14:paraId="129EC714" w14:textId="77777777" w:rsidR="0048680F" w:rsidRPr="000C5B3E" w:rsidRDefault="0048680F" w:rsidP="0048680F">
      <w:pPr>
        <w:pStyle w:val="Affiliation"/>
        <w:jc w:val="left"/>
        <w:rPr>
          <w:rFonts w:cs="Times New Roman"/>
          <w:szCs w:val="24"/>
        </w:rPr>
      </w:pPr>
      <w:r w:rsidRPr="000C5B3E">
        <w:rPr>
          <w:rFonts w:cs="Times New Roman"/>
          <w:szCs w:val="24"/>
        </w:rPr>
        <w:t>First AUTHOR: https://orcid.org/</w:t>
      </w:r>
      <w:r w:rsidRPr="000C5B3E">
        <w:rPr>
          <w:rFonts w:cs="Times New Roman"/>
          <w:color w:val="222222"/>
          <w:szCs w:val="24"/>
        </w:rPr>
        <w:t>0000-0002-7832-4158</w:t>
      </w:r>
    </w:p>
    <w:p w14:paraId="704813B1" w14:textId="77777777" w:rsidR="0048680F" w:rsidRPr="000C5B3E" w:rsidRDefault="0048680F" w:rsidP="0048680F">
      <w:pPr>
        <w:pStyle w:val="PaperAuthor"/>
        <w:jc w:val="left"/>
        <w:rPr>
          <w:rFonts w:cs="Times New Roman"/>
          <w:szCs w:val="24"/>
        </w:rPr>
      </w:pPr>
      <w:r w:rsidRPr="000C5B3E">
        <w:rPr>
          <w:rFonts w:cs="Times New Roman"/>
          <w:szCs w:val="24"/>
        </w:rPr>
        <w:t>Second AUTHOR: https://orcid.org/</w:t>
      </w:r>
      <w:r w:rsidRPr="000C5B3E">
        <w:rPr>
          <w:color w:val="222222"/>
        </w:rPr>
        <w:t>0000-0003-4601-7871</w:t>
      </w:r>
    </w:p>
    <w:p w14:paraId="18286DCE" w14:textId="77777777" w:rsidR="0048680F" w:rsidRPr="000C5B3E" w:rsidRDefault="0048680F" w:rsidP="0048680F">
      <w:pPr>
        <w:pStyle w:val="PaperAuthor"/>
        <w:jc w:val="left"/>
        <w:rPr>
          <w:rFonts w:cs="Times New Roman"/>
          <w:szCs w:val="24"/>
        </w:rPr>
      </w:pPr>
      <w:r w:rsidRPr="000C5B3E">
        <w:rPr>
          <w:rFonts w:cs="Times New Roman"/>
          <w:szCs w:val="24"/>
        </w:rPr>
        <w:t>Third AUTHOR: https://orcid.org/</w:t>
      </w:r>
      <w:r w:rsidRPr="000C5B3E">
        <w:rPr>
          <w:color w:val="222222"/>
        </w:rPr>
        <w:t>0000-0001-8656-4613</w:t>
      </w:r>
    </w:p>
    <w:p w14:paraId="62093F17" w14:textId="77777777" w:rsidR="0048680F" w:rsidRPr="000C5B3E" w:rsidRDefault="0048680F" w:rsidP="0048680F">
      <w:pPr>
        <w:pStyle w:val="PaperAuthor"/>
        <w:jc w:val="left"/>
        <w:rPr>
          <w:rFonts w:cs="Times New Roman"/>
          <w:szCs w:val="24"/>
        </w:rPr>
      </w:pPr>
      <w:r w:rsidRPr="000C5B3E">
        <w:rPr>
          <w:rFonts w:cs="Times New Roman"/>
          <w:szCs w:val="24"/>
        </w:rPr>
        <w:t>Fourth AUTHOR: https://orcid.org/</w:t>
      </w:r>
      <w:r w:rsidRPr="000C5B3E">
        <w:rPr>
          <w:color w:val="222222"/>
        </w:rPr>
        <w:t>0000-0002-4677-8358</w:t>
      </w:r>
    </w:p>
    <w:p w14:paraId="17C64B98" w14:textId="77777777" w:rsidR="0048680F" w:rsidRPr="000C5B3E" w:rsidRDefault="0048680F" w:rsidP="0048680F">
      <w:pPr>
        <w:pStyle w:val="PaperAuthor"/>
        <w:jc w:val="left"/>
        <w:rPr>
          <w:rFonts w:cs="Times New Roman"/>
          <w:szCs w:val="24"/>
        </w:rPr>
      </w:pPr>
      <w:r w:rsidRPr="000C5B3E">
        <w:rPr>
          <w:rFonts w:cs="Times New Roman"/>
          <w:szCs w:val="24"/>
        </w:rPr>
        <w:t>Fifth AUTHOR: https://orcid.org/</w:t>
      </w:r>
      <w:r w:rsidRPr="000C5B3E">
        <w:rPr>
          <w:rFonts w:cs="Times New Roman"/>
          <w:color w:val="222222"/>
          <w:szCs w:val="24"/>
        </w:rPr>
        <w:t>0009-0007-5692-173X</w:t>
      </w:r>
    </w:p>
    <w:p w14:paraId="2D4ED1D3" w14:textId="77777777" w:rsidR="0048680F" w:rsidRPr="000C5B3E" w:rsidRDefault="0048680F" w:rsidP="0048680F">
      <w:pPr>
        <w:spacing w:line="360" w:lineRule="auto"/>
        <w:rPr>
          <w:rFonts w:ascii="Times New Roman" w:hAnsi="Times New Roman" w:cs="Times New Roman"/>
          <w:b/>
          <w:sz w:val="24"/>
          <w:szCs w:val="24"/>
          <w:lang w:val="en-US"/>
        </w:rPr>
      </w:pPr>
      <w:r w:rsidRPr="000C5B3E">
        <w:rPr>
          <w:rFonts w:ascii="Times New Roman" w:hAnsi="Times New Roman" w:cs="Times New Roman"/>
          <w:b/>
          <w:sz w:val="24"/>
          <w:szCs w:val="24"/>
          <w:lang w:val="en-US"/>
        </w:rPr>
        <w:t>Acknowledgments</w:t>
      </w:r>
    </w:p>
    <w:p w14:paraId="43D449B1" w14:textId="77777777" w:rsidR="0048680F" w:rsidRPr="000C5B3E" w:rsidRDefault="0048680F" w:rsidP="0048680F">
      <w:pPr>
        <w:spacing w:line="360" w:lineRule="auto"/>
        <w:jc w:val="both"/>
        <w:rPr>
          <w:rFonts w:ascii="Times New Roman" w:hAnsi="Times New Roman" w:cs="Times New Roman"/>
          <w:sz w:val="24"/>
          <w:szCs w:val="24"/>
          <w:lang w:val="en-US"/>
        </w:rPr>
      </w:pPr>
      <w:r w:rsidRPr="000C5B3E">
        <w:rPr>
          <w:rFonts w:ascii="Times New Roman" w:hAnsi="Times New Roman" w:cs="Times New Roman"/>
          <w:sz w:val="24"/>
          <w:szCs w:val="24"/>
          <w:lang w:val="en-US"/>
        </w:rPr>
        <w:t>The authors would like to thank all pharmacists and pharmacy technicians individually for data collection.</w:t>
      </w:r>
    </w:p>
    <w:p w14:paraId="421BF46D" w14:textId="77777777" w:rsidR="0048680F" w:rsidRPr="000C5B3E" w:rsidRDefault="0048680F" w:rsidP="0048680F">
      <w:pPr>
        <w:spacing w:line="360" w:lineRule="auto"/>
        <w:rPr>
          <w:rFonts w:ascii="Times New Roman" w:hAnsi="Times New Roman" w:cs="Times New Roman"/>
          <w:b/>
          <w:sz w:val="24"/>
          <w:szCs w:val="24"/>
          <w:lang w:val="en-US"/>
        </w:rPr>
      </w:pPr>
      <w:r w:rsidRPr="000C5B3E">
        <w:rPr>
          <w:rFonts w:ascii="Times New Roman" w:hAnsi="Times New Roman" w:cs="Times New Roman"/>
          <w:b/>
          <w:sz w:val="24"/>
          <w:szCs w:val="24"/>
          <w:lang w:val="en-US"/>
        </w:rPr>
        <w:t>Informed Consent</w:t>
      </w:r>
    </w:p>
    <w:p w14:paraId="457CCD5E" w14:textId="77777777" w:rsidR="0048680F" w:rsidRPr="000C5B3E" w:rsidRDefault="0048680F" w:rsidP="0048680F">
      <w:pPr>
        <w:spacing w:line="360" w:lineRule="auto"/>
        <w:jc w:val="both"/>
        <w:rPr>
          <w:rFonts w:ascii="Times New Roman" w:hAnsi="Times New Roman" w:cs="Times New Roman"/>
          <w:sz w:val="24"/>
          <w:szCs w:val="24"/>
          <w:lang w:val="en-US"/>
        </w:rPr>
      </w:pPr>
      <w:r w:rsidRPr="000C5B3E">
        <w:rPr>
          <w:rFonts w:ascii="Times New Roman" w:hAnsi="Times New Roman" w:cs="Times New Roman"/>
          <w:sz w:val="24"/>
          <w:szCs w:val="24"/>
          <w:lang w:val="en-US"/>
        </w:rPr>
        <w:lastRenderedPageBreak/>
        <w:t>The study was conducted in accordance with the Declaration of Helsinki and approved by the Ethics Committees of institutions included in this research. Ethical approval was obtained from the Marmara University Faculty of Medicine Clinical Research Ethics Committee (approval number: 09.02.2024/09.2024.287), and informed consent was acquired from all participants.</w:t>
      </w:r>
    </w:p>
    <w:p w14:paraId="5FDF6BD5" w14:textId="77777777" w:rsidR="0048680F" w:rsidRPr="000C5B3E" w:rsidRDefault="0048680F" w:rsidP="0048680F">
      <w:pPr>
        <w:spacing w:line="360" w:lineRule="auto"/>
        <w:rPr>
          <w:rFonts w:ascii="Times New Roman" w:hAnsi="Times New Roman" w:cs="Times New Roman"/>
          <w:sz w:val="24"/>
          <w:szCs w:val="24"/>
          <w:lang w:val="en-US"/>
        </w:rPr>
      </w:pPr>
      <w:r w:rsidRPr="000C5B3E">
        <w:rPr>
          <w:rFonts w:ascii="Times New Roman" w:hAnsi="Times New Roman" w:cs="Times New Roman"/>
          <w:sz w:val="24"/>
          <w:szCs w:val="24"/>
          <w:lang w:val="en-US"/>
        </w:rPr>
        <w:t xml:space="preserve">Informed consent was obtained from all subjects involved in the study. </w:t>
      </w:r>
    </w:p>
    <w:p w14:paraId="1938BEAC" w14:textId="77777777" w:rsidR="0048680F" w:rsidRPr="000C5B3E" w:rsidRDefault="0048680F" w:rsidP="0048680F">
      <w:pPr>
        <w:spacing w:line="360" w:lineRule="auto"/>
        <w:rPr>
          <w:rFonts w:ascii="Times New Roman" w:hAnsi="Times New Roman" w:cs="Times New Roman"/>
          <w:b/>
          <w:sz w:val="24"/>
          <w:szCs w:val="24"/>
          <w:lang w:val="en-US"/>
        </w:rPr>
      </w:pPr>
      <w:r w:rsidRPr="000C5B3E">
        <w:rPr>
          <w:rFonts w:ascii="Times New Roman" w:hAnsi="Times New Roman" w:cs="Times New Roman"/>
          <w:b/>
          <w:sz w:val="24"/>
          <w:szCs w:val="24"/>
          <w:lang w:val="en-US"/>
        </w:rPr>
        <w:t>Declaration of Conflicts of Interests</w:t>
      </w:r>
    </w:p>
    <w:p w14:paraId="30F77C5D" w14:textId="77777777" w:rsidR="0048680F" w:rsidRPr="000C5B3E" w:rsidRDefault="0048680F" w:rsidP="0048680F">
      <w:pPr>
        <w:spacing w:line="360" w:lineRule="auto"/>
        <w:jc w:val="both"/>
        <w:rPr>
          <w:rFonts w:ascii="Times New Roman" w:hAnsi="Times New Roman" w:cs="Times New Roman"/>
          <w:sz w:val="24"/>
          <w:szCs w:val="24"/>
          <w:lang w:val="en-US"/>
        </w:rPr>
      </w:pPr>
      <w:r w:rsidRPr="000C5B3E">
        <w:rPr>
          <w:rFonts w:ascii="Times New Roman" w:hAnsi="Times New Roman" w:cs="Times New Roman"/>
          <w:sz w:val="24"/>
          <w:szCs w:val="24"/>
          <w:lang w:val="en-US"/>
        </w:rPr>
        <w:t>The authors declare no conflicts of interest with respect to the research, authorship, and/or publication of this article.</w:t>
      </w:r>
    </w:p>
    <w:p w14:paraId="216AD840" w14:textId="77777777" w:rsidR="0048680F" w:rsidRPr="000C5B3E" w:rsidRDefault="0048680F" w:rsidP="0048680F">
      <w:pPr>
        <w:spacing w:line="360" w:lineRule="auto"/>
        <w:rPr>
          <w:rFonts w:ascii="Times New Roman" w:hAnsi="Times New Roman" w:cs="Times New Roman"/>
          <w:b/>
          <w:sz w:val="24"/>
          <w:szCs w:val="24"/>
          <w:lang w:val="en-US"/>
        </w:rPr>
      </w:pPr>
      <w:r w:rsidRPr="000C5B3E">
        <w:rPr>
          <w:rFonts w:ascii="Times New Roman" w:hAnsi="Times New Roman" w:cs="Times New Roman"/>
          <w:b/>
          <w:sz w:val="24"/>
          <w:szCs w:val="24"/>
          <w:lang w:val="en-US"/>
        </w:rPr>
        <w:t>Funding</w:t>
      </w:r>
    </w:p>
    <w:p w14:paraId="1AF6C846" w14:textId="77777777" w:rsidR="0048680F" w:rsidRPr="000C5B3E" w:rsidRDefault="0048680F" w:rsidP="0048680F">
      <w:pPr>
        <w:spacing w:line="360" w:lineRule="auto"/>
        <w:jc w:val="both"/>
        <w:rPr>
          <w:rFonts w:ascii="Times New Roman" w:hAnsi="Times New Roman" w:cs="Times New Roman"/>
          <w:sz w:val="24"/>
          <w:szCs w:val="24"/>
          <w:lang w:val="en-US"/>
        </w:rPr>
      </w:pPr>
      <w:r w:rsidRPr="000C5B3E">
        <w:rPr>
          <w:rFonts w:ascii="Times New Roman" w:hAnsi="Times New Roman" w:cs="Times New Roman"/>
          <w:sz w:val="24"/>
          <w:szCs w:val="24"/>
          <w:lang w:val="en-US"/>
        </w:rPr>
        <w:t>The authors received no financial support for the research, authorship, and/or publication of this article.</w:t>
      </w:r>
    </w:p>
    <w:p w14:paraId="6A568976" w14:textId="77777777" w:rsidR="0048680F" w:rsidRPr="000C5B3E" w:rsidRDefault="0048680F">
      <w:pPr>
        <w:rPr>
          <w:rFonts w:ascii="Times New Roman" w:eastAsia="Times New Roman" w:hAnsi="Times New Roman" w:cs="Times New Roman"/>
          <w:b/>
          <w:bCs/>
          <w:kern w:val="36"/>
          <w:sz w:val="24"/>
          <w:szCs w:val="24"/>
          <w:lang w:eastAsia="tr-TR"/>
          <w14:ligatures w14:val="none"/>
        </w:rPr>
      </w:pPr>
      <w:r w:rsidRPr="000C5B3E">
        <w:rPr>
          <w:rFonts w:ascii="Times New Roman" w:eastAsia="Times New Roman" w:hAnsi="Times New Roman" w:cs="Times New Roman"/>
          <w:b/>
          <w:bCs/>
          <w:kern w:val="36"/>
          <w:sz w:val="24"/>
          <w:szCs w:val="24"/>
          <w:lang w:eastAsia="tr-TR"/>
          <w14:ligatures w14:val="none"/>
        </w:rPr>
        <w:br w:type="page"/>
      </w:r>
    </w:p>
    <w:p w14:paraId="589A4979" w14:textId="5E8D35D1" w:rsidR="000B6D63" w:rsidRPr="000C5B3E" w:rsidRDefault="000B6D63" w:rsidP="002A6F88">
      <w:pPr>
        <w:spacing w:before="100" w:beforeAutospacing="1" w:after="100" w:afterAutospacing="1" w:line="480" w:lineRule="auto"/>
        <w:jc w:val="center"/>
        <w:outlineLvl w:val="0"/>
        <w:rPr>
          <w:rFonts w:ascii="Times New Roman" w:eastAsia="Times New Roman" w:hAnsi="Times New Roman" w:cs="Times New Roman"/>
          <w:b/>
          <w:bCs/>
          <w:kern w:val="36"/>
          <w:sz w:val="24"/>
          <w:szCs w:val="24"/>
          <w:lang w:eastAsia="tr-TR"/>
          <w14:ligatures w14:val="none"/>
        </w:rPr>
      </w:pPr>
      <w:r w:rsidRPr="000C5B3E">
        <w:rPr>
          <w:rFonts w:ascii="Times New Roman" w:eastAsia="Times New Roman" w:hAnsi="Times New Roman" w:cs="Times New Roman"/>
          <w:b/>
          <w:bCs/>
          <w:kern w:val="36"/>
          <w:sz w:val="24"/>
          <w:szCs w:val="24"/>
          <w:lang w:eastAsia="tr-TR"/>
          <w14:ligatures w14:val="none"/>
        </w:rPr>
        <w:lastRenderedPageBreak/>
        <w:t>The prevalence and impacts of violence in community pharmacies: a cross-sectional and qualitative study</w:t>
      </w:r>
    </w:p>
    <w:p w14:paraId="32018B4A" w14:textId="77777777" w:rsidR="000B6D63" w:rsidRPr="000C5B3E" w:rsidRDefault="000B6D63" w:rsidP="002A6F88">
      <w:pPr>
        <w:spacing w:before="100" w:beforeAutospacing="1" w:after="100" w:afterAutospacing="1" w:line="480" w:lineRule="auto"/>
        <w:jc w:val="center"/>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Abstract</w:t>
      </w:r>
    </w:p>
    <w:p w14:paraId="004951AE"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Background/aim:</w:t>
      </w:r>
      <w:r w:rsidRPr="000C5B3E">
        <w:rPr>
          <w:rFonts w:ascii="Times New Roman" w:eastAsia="Times New Roman" w:hAnsi="Times New Roman" w:cs="Times New Roman"/>
          <w:kern w:val="0"/>
          <w:sz w:val="24"/>
          <w:szCs w:val="24"/>
          <w:lang w:eastAsia="tr-TR"/>
          <w14:ligatures w14:val="none"/>
        </w:rPr>
        <w:t xml:space="preserve"> Pharmacists and pharmacy technicians working in community pharmacies are at risk of workplace violence, which can adversely affect job satisfaction, productivity, and mental health. This study investigated the prevalence and impacts of violence in community pharmacies in Ankara using a mixed-methods approach that combined cross-sectional survey data with qualitative insights.</w:t>
      </w:r>
    </w:p>
    <w:p w14:paraId="17CF31BE" w14:textId="6891181C"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Materials and methods:</w:t>
      </w:r>
      <w:r w:rsidRPr="000C5B3E">
        <w:rPr>
          <w:rFonts w:ascii="Times New Roman" w:eastAsia="Times New Roman" w:hAnsi="Times New Roman" w:cs="Times New Roman"/>
          <w:kern w:val="0"/>
          <w:sz w:val="24"/>
          <w:szCs w:val="24"/>
          <w:lang w:eastAsia="tr-TR"/>
          <w14:ligatures w14:val="none"/>
        </w:rPr>
        <w:t xml:space="preserve"> The target population included pharmacists and pharmacy technicians. We examined demographic factors, psychological outcomes, and the nature of violent incidents. From a </w:t>
      </w:r>
      <w:r w:rsidR="002A6F88" w:rsidRPr="000C5B3E">
        <w:rPr>
          <w:rFonts w:ascii="Times New Roman" w:eastAsia="Times New Roman" w:hAnsi="Times New Roman" w:cs="Times New Roman"/>
          <w:kern w:val="0"/>
          <w:sz w:val="24"/>
          <w:szCs w:val="24"/>
          <w:lang w:eastAsia="tr-TR"/>
          <w14:ligatures w14:val="none"/>
        </w:rPr>
        <w:t>sample</w:t>
      </w:r>
      <w:r w:rsidRPr="000C5B3E">
        <w:rPr>
          <w:rFonts w:ascii="Times New Roman" w:eastAsia="Times New Roman" w:hAnsi="Times New Roman" w:cs="Times New Roman"/>
          <w:kern w:val="0"/>
          <w:sz w:val="24"/>
          <w:szCs w:val="24"/>
          <w:lang w:eastAsia="tr-TR"/>
          <w14:ligatures w14:val="none"/>
        </w:rPr>
        <w:t xml:space="preserve"> of 355 pharmacies, data were collected via a 39-item survey and the Depression Anxiety Stress Scales (DASS-21), supplemented by qualitative interviews with 12 pharmacists.</w:t>
      </w:r>
    </w:p>
    <w:p w14:paraId="02B3FBFA"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Results:</w:t>
      </w:r>
      <w:r w:rsidRPr="000C5B3E">
        <w:rPr>
          <w:rFonts w:ascii="Times New Roman" w:eastAsia="Times New Roman" w:hAnsi="Times New Roman" w:cs="Times New Roman"/>
          <w:kern w:val="0"/>
          <w:sz w:val="24"/>
          <w:szCs w:val="24"/>
          <w:lang w:eastAsia="tr-TR"/>
          <w14:ligatures w14:val="none"/>
        </w:rPr>
        <w:t xml:space="preserve"> A total of 242 participants took part in the study: 174 pharmacists (71.9%; median age 46.0 years) and 68 pharmacy technicians (28.1%; median age 35.0 years). Overall, 63.2% reported at least one violent incident (58.0% of pharmacists; 76.5% of pharmacy technicians). Verbal violence was the most common form, and technicians reported significantly more violence than pharmacists. Perpetrators were typically patients or their relatives; societal violence and problems in the health system were frequently cited contributors. Many participants did not pursue legal action, citing burnout and a perception of violence as an occupational norm. DASS-21 findings indicated higher anxiety among technicians. Exposure to violence was associated with lower stress and depression scores among pharmacists but not among technicians.</w:t>
      </w:r>
    </w:p>
    <w:p w14:paraId="4DD65F45"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lastRenderedPageBreak/>
        <w:t>Conclusion:</w:t>
      </w:r>
      <w:r w:rsidRPr="000C5B3E">
        <w:rPr>
          <w:rFonts w:ascii="Times New Roman" w:eastAsia="Times New Roman" w:hAnsi="Times New Roman" w:cs="Times New Roman"/>
          <w:kern w:val="0"/>
          <w:sz w:val="24"/>
          <w:szCs w:val="24"/>
          <w:lang w:eastAsia="tr-TR"/>
          <w14:ligatures w14:val="none"/>
        </w:rPr>
        <w:t xml:space="preserve"> Violence in community pharmacies is common—particularly verbal abuse—and disproportionately affects pharmacy technicians. Addressing this problem requires enhanced training, support, and security measures, and extending White Code legal protections to community pharmacies to improve safety and service quality.</w:t>
      </w:r>
    </w:p>
    <w:p w14:paraId="3411C7F9" w14:textId="0170D5E7" w:rsidR="003E6FF6"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Keywords:</w:t>
      </w:r>
      <w:r w:rsidRPr="000C5B3E">
        <w:rPr>
          <w:rFonts w:ascii="Times New Roman" w:eastAsia="Times New Roman" w:hAnsi="Times New Roman" w:cs="Times New Roman"/>
          <w:kern w:val="0"/>
          <w:sz w:val="24"/>
          <w:szCs w:val="24"/>
          <w:lang w:eastAsia="tr-TR"/>
          <w14:ligatures w14:val="none"/>
        </w:rPr>
        <w:t xml:space="preserve"> Workplace violence</w:t>
      </w:r>
      <w:r w:rsidR="003E6FF6" w:rsidRPr="000C5B3E">
        <w:rPr>
          <w:rFonts w:ascii="Times New Roman" w:eastAsia="Times New Roman" w:hAnsi="Times New Roman" w:cs="Times New Roman"/>
          <w:kern w:val="0"/>
          <w:sz w:val="24"/>
          <w:szCs w:val="24"/>
          <w:lang w:eastAsia="tr-TR"/>
          <w14:ligatures w14:val="none"/>
        </w:rPr>
        <w:t>,</w:t>
      </w:r>
      <w:r w:rsidRPr="000C5B3E">
        <w:rPr>
          <w:rFonts w:ascii="Times New Roman" w:eastAsia="Times New Roman" w:hAnsi="Times New Roman" w:cs="Times New Roman"/>
          <w:kern w:val="0"/>
          <w:sz w:val="24"/>
          <w:szCs w:val="24"/>
          <w:lang w:eastAsia="tr-TR"/>
          <w14:ligatures w14:val="none"/>
        </w:rPr>
        <w:t xml:space="preserve"> work safety</w:t>
      </w:r>
      <w:r w:rsidR="003E6FF6" w:rsidRPr="000C5B3E">
        <w:rPr>
          <w:rFonts w:ascii="Times New Roman" w:eastAsia="Times New Roman" w:hAnsi="Times New Roman" w:cs="Times New Roman"/>
          <w:kern w:val="0"/>
          <w:sz w:val="24"/>
          <w:szCs w:val="24"/>
          <w:lang w:eastAsia="tr-TR"/>
          <w14:ligatures w14:val="none"/>
        </w:rPr>
        <w:t>,</w:t>
      </w:r>
      <w:r w:rsidRPr="000C5B3E">
        <w:rPr>
          <w:rFonts w:ascii="Times New Roman" w:eastAsia="Times New Roman" w:hAnsi="Times New Roman" w:cs="Times New Roman"/>
          <w:kern w:val="0"/>
          <w:sz w:val="24"/>
          <w:szCs w:val="24"/>
          <w:lang w:eastAsia="tr-TR"/>
          <w14:ligatures w14:val="none"/>
        </w:rPr>
        <w:t xml:space="preserve"> community pharmacy</w:t>
      </w:r>
      <w:r w:rsidR="003E6FF6" w:rsidRPr="000C5B3E">
        <w:rPr>
          <w:rFonts w:ascii="Times New Roman" w:eastAsia="Times New Roman" w:hAnsi="Times New Roman" w:cs="Times New Roman"/>
          <w:kern w:val="0"/>
          <w:sz w:val="24"/>
          <w:szCs w:val="24"/>
          <w:lang w:eastAsia="tr-TR"/>
          <w14:ligatures w14:val="none"/>
        </w:rPr>
        <w:t>,</w:t>
      </w:r>
      <w:r w:rsidRPr="000C5B3E">
        <w:rPr>
          <w:rFonts w:ascii="Times New Roman" w:eastAsia="Times New Roman" w:hAnsi="Times New Roman" w:cs="Times New Roman"/>
          <w:kern w:val="0"/>
          <w:sz w:val="24"/>
          <w:szCs w:val="24"/>
          <w:lang w:eastAsia="tr-TR"/>
          <w14:ligatures w14:val="none"/>
        </w:rPr>
        <w:t xml:space="preserve"> pharmacist</w:t>
      </w:r>
      <w:r w:rsidR="003E6FF6" w:rsidRPr="000C5B3E">
        <w:rPr>
          <w:rFonts w:ascii="Times New Roman" w:eastAsia="Times New Roman" w:hAnsi="Times New Roman" w:cs="Times New Roman"/>
          <w:kern w:val="0"/>
          <w:sz w:val="24"/>
          <w:szCs w:val="24"/>
          <w:lang w:eastAsia="tr-TR"/>
          <w14:ligatures w14:val="none"/>
        </w:rPr>
        <w:t>,</w:t>
      </w:r>
      <w:r w:rsidRPr="000C5B3E">
        <w:rPr>
          <w:rFonts w:ascii="Times New Roman" w:eastAsia="Times New Roman" w:hAnsi="Times New Roman" w:cs="Times New Roman"/>
          <w:kern w:val="0"/>
          <w:sz w:val="24"/>
          <w:szCs w:val="24"/>
          <w:lang w:eastAsia="tr-TR"/>
          <w14:ligatures w14:val="none"/>
        </w:rPr>
        <w:t xml:space="preserve"> pharmacy technician</w:t>
      </w:r>
      <w:r w:rsidR="003E6FF6" w:rsidRPr="000C5B3E">
        <w:rPr>
          <w:rFonts w:ascii="Times New Roman" w:eastAsia="Times New Roman" w:hAnsi="Times New Roman" w:cs="Times New Roman"/>
          <w:kern w:val="0"/>
          <w:sz w:val="24"/>
          <w:szCs w:val="24"/>
          <w:lang w:eastAsia="tr-TR"/>
          <w14:ligatures w14:val="none"/>
        </w:rPr>
        <w:t xml:space="preserve">, </w:t>
      </w:r>
      <w:r w:rsidRPr="000C5B3E">
        <w:rPr>
          <w:rFonts w:ascii="Times New Roman" w:eastAsia="Times New Roman" w:hAnsi="Times New Roman" w:cs="Times New Roman"/>
          <w:kern w:val="0"/>
          <w:sz w:val="24"/>
          <w:szCs w:val="24"/>
          <w:lang w:eastAsia="tr-TR"/>
          <w14:ligatures w14:val="none"/>
        </w:rPr>
        <w:t>occupational health</w:t>
      </w:r>
    </w:p>
    <w:p w14:paraId="29315959" w14:textId="1F020AF7" w:rsidR="000B6D63" w:rsidRPr="000C5B3E" w:rsidRDefault="003E6FF6" w:rsidP="003E6FF6">
      <w:pPr>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br w:type="page"/>
      </w:r>
    </w:p>
    <w:p w14:paraId="653D8685" w14:textId="77777777"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lastRenderedPageBreak/>
        <w:t>1. Introduction</w:t>
      </w:r>
    </w:p>
    <w:p w14:paraId="328AA400" w14:textId="79791115" w:rsidR="00BE6B77" w:rsidRPr="000C5B3E" w:rsidRDefault="00BE6B77"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Workplace violence in the health care sector constitutes a significant global public health concern, undermining the safety, psychological well-being, and job satisfaction of health professionals. International evidence demonstrates that a substantial proportion of health care workers are subjected to some form of violence each year; estimates indicate that 61.9% report exposure, with 42.5% experiencing non-physical violence and 24.4% experiencing physical violence. Among non-physical forms, verbal abuse is the most prevalent, followed by threats and sexual harassment [1]. Studies conducted in T</w:t>
      </w:r>
      <w:r w:rsidR="00587ECB" w:rsidRPr="000C5B3E">
        <w:rPr>
          <w:rFonts w:ascii="Times New Roman" w:eastAsia="Times New Roman" w:hAnsi="Times New Roman" w:cs="Times New Roman"/>
          <w:kern w:val="0"/>
          <w:sz w:val="24"/>
          <w:szCs w:val="24"/>
          <w:lang w:eastAsia="tr-TR"/>
          <w14:ligatures w14:val="none"/>
        </w:rPr>
        <w:t>u</w:t>
      </w:r>
      <w:r w:rsidRPr="000C5B3E">
        <w:rPr>
          <w:rFonts w:ascii="Times New Roman" w:eastAsia="Times New Roman" w:hAnsi="Times New Roman" w:cs="Times New Roman"/>
          <w:kern w:val="0"/>
          <w:sz w:val="24"/>
          <w:szCs w:val="24"/>
          <w:lang w:eastAsia="tr-TR"/>
          <w14:ligatures w14:val="none"/>
        </w:rPr>
        <w:t>rkiye similarly report high prevalence rates: 44.7% of health care workers have experienced workplace violence [2], and 61.1% have reported verbal and/or physical violence [3].</w:t>
      </w:r>
    </w:p>
    <w:p w14:paraId="0FDA65A2" w14:textId="77777777" w:rsidR="00145F7B"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Violence in community pharmacies has been documented across regions, underscoring the need for effective mitigation strategies. In Saudi Arabia, a 2025 systematic review reported prevalence ranging from 26% to 90.7% among physicians, pharmacists, and nurses [4]. In Australia, 91% of surveyed community pharmacists experienced or witnessed violence over 12 months, including verbal abuse, bullying, and sexual harassment, with downstream consequences such as job change and lack of post-incident support [5]. United Kingdom studies likewise reported high levels of threats and assaults, with implications for the services pharmacists are willing to offer [6,7]. </w:t>
      </w:r>
      <w:r w:rsidR="000D732C" w:rsidRPr="000C5B3E">
        <w:rPr>
          <w:rFonts w:ascii="Times New Roman" w:eastAsia="Times New Roman" w:hAnsi="Times New Roman" w:cs="Times New Roman"/>
          <w:bCs/>
          <w:kern w:val="0"/>
          <w:sz w:val="24"/>
          <w:szCs w:val="24"/>
          <w:lang w:val="en-US" w:eastAsia="tr-TR"/>
          <w14:ligatures w14:val="none"/>
        </w:rPr>
        <w:t>In Ireland, 77% of community pharmacies reported some violent event (verbal or physical) over the past year, with 18% reporting physical assault, and 63% being worried about workplace violence The impact on employees was profound, leading to increased absenteeism and fear levels among staff</w:t>
      </w:r>
      <w:r w:rsidRPr="000C5B3E">
        <w:rPr>
          <w:rFonts w:ascii="Times New Roman" w:eastAsia="Times New Roman" w:hAnsi="Times New Roman" w:cs="Times New Roman"/>
          <w:kern w:val="0"/>
          <w:sz w:val="24"/>
          <w:szCs w:val="24"/>
          <w:lang w:eastAsia="tr-TR"/>
          <w14:ligatures w14:val="none"/>
        </w:rPr>
        <w:t xml:space="preserve"> [8]. In Mansoura</w:t>
      </w:r>
      <w:r w:rsidR="00145F7B" w:rsidRPr="000C5B3E">
        <w:rPr>
          <w:rFonts w:ascii="Times New Roman" w:eastAsia="Times New Roman" w:hAnsi="Times New Roman" w:cs="Times New Roman"/>
          <w:kern w:val="0"/>
          <w:sz w:val="24"/>
          <w:szCs w:val="24"/>
          <w:lang w:eastAsia="tr-TR"/>
          <w14:ligatures w14:val="none"/>
        </w:rPr>
        <w:t xml:space="preserve"> city</w:t>
      </w:r>
      <w:r w:rsidRPr="000C5B3E">
        <w:rPr>
          <w:rFonts w:ascii="Times New Roman" w:eastAsia="Times New Roman" w:hAnsi="Times New Roman" w:cs="Times New Roman"/>
          <w:kern w:val="0"/>
          <w:sz w:val="24"/>
          <w:szCs w:val="24"/>
          <w:lang w:eastAsia="tr-TR"/>
          <w14:ligatures w14:val="none"/>
        </w:rPr>
        <w:t>, Egypt, 34.6% of pharmacy staff reported exposure to violence in the previous year, primarily verbal abuse [9]. In Nigeria, occupational violence among pharmacists was 92.7%, with long waiting times and refusal to fulfill demands commonly associated with incidents [10].</w:t>
      </w:r>
      <w:r w:rsidR="00145F7B" w:rsidRPr="000C5B3E">
        <w:rPr>
          <w:bCs/>
          <w:kern w:val="0"/>
          <w:lang w:val="en-US"/>
          <w14:ligatures w14:val="none"/>
        </w:rPr>
        <w:t xml:space="preserve"> </w:t>
      </w:r>
      <w:r w:rsidR="00145F7B" w:rsidRPr="000C5B3E">
        <w:rPr>
          <w:rFonts w:ascii="Times New Roman" w:eastAsia="Times New Roman" w:hAnsi="Times New Roman" w:cs="Times New Roman"/>
          <w:bCs/>
          <w:kern w:val="0"/>
          <w:sz w:val="24"/>
          <w:szCs w:val="24"/>
          <w:lang w:val="en-US" w:eastAsia="tr-TR"/>
          <w14:ligatures w14:val="none"/>
        </w:rPr>
        <w:t xml:space="preserve">These findings underscore </w:t>
      </w:r>
      <w:r w:rsidR="00145F7B" w:rsidRPr="000C5B3E">
        <w:rPr>
          <w:rFonts w:ascii="Times New Roman" w:eastAsia="Times New Roman" w:hAnsi="Times New Roman" w:cs="Times New Roman"/>
          <w:bCs/>
          <w:kern w:val="0"/>
          <w:sz w:val="24"/>
          <w:szCs w:val="24"/>
          <w:lang w:val="en-US" w:eastAsia="tr-TR"/>
          <w14:ligatures w14:val="none"/>
        </w:rPr>
        <w:lastRenderedPageBreak/>
        <w:t>the global nature of the problem and the need for comprehensive measures to protect pharmacy staff.</w:t>
      </w:r>
    </w:p>
    <w:p w14:paraId="6F0CD91B" w14:textId="6D848475"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Community pharmacies have also been considered as potential access points for broader public health efforts, including domestic and sexual violence response, given their accessibility and public trust [11,12]. To realize this potential, pharmacists require adequate training, support, and resources.</w:t>
      </w:r>
    </w:p>
    <w:p w14:paraId="0C354322" w14:textId="7DC89188" w:rsidR="000B6D63" w:rsidRPr="000C5B3E" w:rsidRDefault="000B6D63" w:rsidP="00145F7B">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Given the pervasiveness and consequences of violence in community pharmacies, a multifaceted response is needed, including improved reporting mechanisms, post-incident support, and targeted training. This study aimed to determine the frequency of violence experienced in community pharmacies in Ankara and to assess its effects on those impacted. By combining quantitative and qualitative methods, we sought to capture both prevalence and the lived experiences of those facing these challenges and to provide data-informed recommendations for prevention.</w:t>
      </w:r>
    </w:p>
    <w:p w14:paraId="725D2C31" w14:textId="77777777"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2. Methods</w:t>
      </w:r>
    </w:p>
    <w:p w14:paraId="7B754085" w14:textId="43BE7A44"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This mixed-methods study employed a convergent parallel design in which quantitative and qualitative data were collected simultaneously, analyzed separately, and integrated during interpretation to provide a comprehensive understanding of workplace violence in community pharmacies. The study population consisted of pharmacists and pharmacy technicians working in community pharmacies in Ankara, T</w:t>
      </w:r>
      <w:r w:rsidR="003A3777" w:rsidRPr="000C5B3E">
        <w:rPr>
          <w:rFonts w:ascii="Times New Roman" w:eastAsia="Times New Roman" w:hAnsi="Times New Roman" w:cs="Times New Roman"/>
          <w:kern w:val="0"/>
          <w:sz w:val="24"/>
          <w:szCs w:val="24"/>
          <w:lang w:eastAsia="tr-TR"/>
          <w14:ligatures w14:val="none"/>
        </w:rPr>
        <w:t>u</w:t>
      </w:r>
      <w:r w:rsidRPr="000C5B3E">
        <w:rPr>
          <w:rFonts w:ascii="Times New Roman" w:eastAsia="Times New Roman" w:hAnsi="Times New Roman" w:cs="Times New Roman"/>
          <w:kern w:val="0"/>
          <w:sz w:val="24"/>
          <w:szCs w:val="24"/>
          <w:lang w:eastAsia="tr-TR"/>
          <w14:ligatures w14:val="none"/>
        </w:rPr>
        <w:t xml:space="preserve">rkiye. According to 2024 data from the Turkish Medicines and Medical Devices Agency, Ankara has 2,265 pharmacies. Assuming at least one pharmacist and one technician per pharmacy, the minimum sample size for the cross-sectional component was calculated as 355 at a 95% confidence level and 5% margin of error. Accordingly, 355 pharmacies were selected via simple random sampling from the Ankara </w:t>
      </w:r>
      <w:r w:rsidRPr="000C5B3E">
        <w:rPr>
          <w:rFonts w:ascii="Times New Roman" w:eastAsia="Times New Roman" w:hAnsi="Times New Roman" w:cs="Times New Roman"/>
          <w:kern w:val="0"/>
          <w:sz w:val="24"/>
          <w:szCs w:val="24"/>
          <w:lang w:eastAsia="tr-TR"/>
          <w14:ligatures w14:val="none"/>
        </w:rPr>
        <w:lastRenderedPageBreak/>
        <w:t>pharmacy list, and online surveys were distributed to pharmacists and technicians at these pharmacies. A web-based random number generator was used to assign numbers to eligible pharmacies and select them unbiasedly. In cases of non-response, the survey was resent once; if still unanswered, the next pharmacy on the list was approached. In total, 355 pharmacies were approached, and 242 individuals agreed to participate, yielding a 68.2% response rate.</w:t>
      </w:r>
    </w:p>
    <w:p w14:paraId="5C391DBC" w14:textId="77777777" w:rsidR="000B6D63" w:rsidRPr="000C5B3E" w:rsidRDefault="000B6D63" w:rsidP="002A6F88">
      <w:pPr>
        <w:spacing w:before="100" w:beforeAutospacing="1" w:after="100" w:afterAutospacing="1" w:line="480" w:lineRule="auto"/>
        <w:jc w:val="both"/>
        <w:outlineLvl w:val="2"/>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2.1. Data collection for the survey</w:t>
      </w:r>
    </w:p>
    <w:p w14:paraId="16369309" w14:textId="415E9726"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Data were collected using a researcher-developed 39-item questionnaire based on the literature on violence (Appendix 1). Items were adapted from previously validated instruments assessing workplace violence and mental health outcomes, and additional items were created de novo to capture context-specific experiences in community pharmacies. The survey was pilot tested with pharmacy staff (n = 9) to ensure clarity, relevance, and comprehensibility; minor revisions were made accordingly. The short form of the Depression Anxiety Stress Scales (DASS-21), adapted into Turkish by Yılmaz et al., was used to measure depression, anxiety, and stress [13]. The original scale was developed by Lovibond </w:t>
      </w:r>
      <w:r w:rsidR="00006858" w:rsidRPr="000C5B3E">
        <w:rPr>
          <w:rFonts w:ascii="Times New Roman" w:eastAsia="Times New Roman" w:hAnsi="Times New Roman" w:cs="Times New Roman"/>
          <w:kern w:val="0"/>
          <w:sz w:val="24"/>
          <w:szCs w:val="24"/>
          <w:lang w:eastAsia="tr-TR"/>
          <w14:ligatures w14:val="none"/>
        </w:rPr>
        <w:t>et al.</w:t>
      </w:r>
      <w:r w:rsidRPr="000C5B3E">
        <w:rPr>
          <w:rFonts w:ascii="Times New Roman" w:eastAsia="Times New Roman" w:hAnsi="Times New Roman" w:cs="Times New Roman"/>
          <w:kern w:val="0"/>
          <w:sz w:val="24"/>
          <w:szCs w:val="24"/>
          <w:lang w:eastAsia="tr-TR"/>
          <w14:ligatures w14:val="none"/>
        </w:rPr>
        <w:t xml:space="preserve"> as a 42-item instrument; DASS-21 uses a 4-point Likert scale (0–3). Reported internal consistency values include Cronbach’s alpha coefficients of .67 for depression, .86 for anxiety, .67 for stress, and .87 for the overall scale [14]. </w:t>
      </w:r>
      <w:bookmarkStart w:id="0" w:name="_Hlk209966155"/>
      <w:r w:rsidRPr="000C5B3E">
        <w:rPr>
          <w:rFonts w:ascii="Times New Roman" w:eastAsia="Times New Roman" w:hAnsi="Times New Roman" w:cs="Times New Roman"/>
          <w:kern w:val="0"/>
          <w:sz w:val="24"/>
          <w:szCs w:val="24"/>
          <w:lang w:eastAsia="tr-TR"/>
          <w14:ligatures w14:val="none"/>
        </w:rPr>
        <w:t>DASS-21 subscale scores were computed by summing item responses for Depression, Anxiety, and Stress. Higher scores indicate greater severity; scores can be categorized as normal, mild, moderate, severe, or extremely severe based on established cut-offs [1</w:t>
      </w:r>
      <w:r w:rsidR="0099405B" w:rsidRPr="000C5B3E">
        <w:rPr>
          <w:rFonts w:ascii="Times New Roman" w:eastAsia="Times New Roman" w:hAnsi="Times New Roman" w:cs="Times New Roman"/>
          <w:kern w:val="0"/>
          <w:sz w:val="24"/>
          <w:szCs w:val="24"/>
          <w:lang w:eastAsia="tr-TR"/>
          <w14:ligatures w14:val="none"/>
        </w:rPr>
        <w:t>3-14</w:t>
      </w:r>
      <w:r w:rsidRPr="000C5B3E">
        <w:rPr>
          <w:rFonts w:ascii="Times New Roman" w:eastAsia="Times New Roman" w:hAnsi="Times New Roman" w:cs="Times New Roman"/>
          <w:kern w:val="0"/>
          <w:sz w:val="24"/>
          <w:szCs w:val="24"/>
          <w:lang w:eastAsia="tr-TR"/>
          <w14:ligatures w14:val="none"/>
        </w:rPr>
        <w:t>].</w:t>
      </w:r>
    </w:p>
    <w:bookmarkEnd w:id="0"/>
    <w:p w14:paraId="07E7ECE2" w14:textId="77777777" w:rsidR="00BB5B42" w:rsidRPr="000C5B3E" w:rsidRDefault="000B6D63" w:rsidP="00BB5B42">
      <w:pPr>
        <w:pStyle w:val="NormalWeb"/>
        <w:spacing w:after="0" w:line="480" w:lineRule="auto"/>
        <w:jc w:val="both"/>
        <w:rPr>
          <w:rFonts w:eastAsia="Times New Roman"/>
          <w:kern w:val="0"/>
          <w:lang w:val="en-US" w:eastAsia="tr-TR"/>
          <w14:ligatures w14:val="none"/>
        </w:rPr>
      </w:pPr>
      <w:r w:rsidRPr="000C5B3E">
        <w:rPr>
          <w:rFonts w:eastAsia="Times New Roman"/>
          <w:kern w:val="0"/>
          <w:lang w:eastAsia="tr-TR"/>
          <w14:ligatures w14:val="none"/>
        </w:rPr>
        <w:t xml:space="preserve">Categorical data were summarized as frequencies and percentages; </w:t>
      </w:r>
      <w:r w:rsidR="00BB5B42" w:rsidRPr="000C5B3E">
        <w:rPr>
          <w:rFonts w:eastAsia="Times New Roman"/>
          <w:kern w:val="0"/>
          <w:lang w:val="en-US" w:eastAsia="tr-TR"/>
          <w14:ligatures w14:val="none"/>
        </w:rPr>
        <w:t xml:space="preserve">Chi-square </w:t>
      </w:r>
      <w:r w:rsidRPr="000C5B3E">
        <w:rPr>
          <w:rFonts w:eastAsia="Times New Roman"/>
          <w:kern w:val="0"/>
          <w:lang w:eastAsia="tr-TR"/>
          <w14:ligatures w14:val="none"/>
        </w:rPr>
        <w:t xml:space="preserve">tests were used for comparisons. Continuous variables were summarized with mean, standard deviation, median, and range; normality was assessed using the Kolmogorov–Smirnov test. Student’s t-test was used to compare means between two normally distributed groups; the Mann–Whitney U test was used for non-normal distributions. </w:t>
      </w:r>
      <w:r w:rsidR="00BB5B42" w:rsidRPr="000C5B3E">
        <w:rPr>
          <w:rFonts w:eastAsia="Times New Roman"/>
          <w:kern w:val="0"/>
          <w:lang w:val="en-US" w:eastAsia="tr-TR"/>
          <w14:ligatures w14:val="none"/>
        </w:rPr>
        <w:t xml:space="preserve">For comparisons across more than two </w:t>
      </w:r>
      <w:r w:rsidRPr="000C5B3E">
        <w:rPr>
          <w:rFonts w:eastAsia="Times New Roman"/>
          <w:kern w:val="0"/>
          <w:lang w:eastAsia="tr-TR"/>
          <w14:ligatures w14:val="none"/>
        </w:rPr>
        <w:t xml:space="preserve">groups </w:t>
      </w:r>
      <w:r w:rsidRPr="000C5B3E">
        <w:rPr>
          <w:rFonts w:eastAsia="Times New Roman"/>
          <w:kern w:val="0"/>
          <w:lang w:eastAsia="tr-TR"/>
          <w14:ligatures w14:val="none"/>
        </w:rPr>
        <w:lastRenderedPageBreak/>
        <w:t xml:space="preserve">with non-normal distributions, the Kruskal–Wallis test was applied. </w:t>
      </w:r>
      <w:r w:rsidR="00BB5B42" w:rsidRPr="000C5B3E">
        <w:rPr>
          <w:rFonts w:eastAsia="Times New Roman"/>
          <w:kern w:val="0"/>
          <w:lang w:val="en-US" w:eastAsia="tr-TR"/>
          <w14:ligatures w14:val="none"/>
        </w:rPr>
        <w:t>A significance level was accepted as 0.05.</w:t>
      </w:r>
    </w:p>
    <w:p w14:paraId="6EC248AB" w14:textId="67773ED0" w:rsidR="000B6D63" w:rsidRPr="000C5B3E" w:rsidRDefault="000B6D63" w:rsidP="00BB5B42">
      <w:pPr>
        <w:spacing w:before="100" w:beforeAutospacing="1" w:after="100" w:afterAutospacing="1" w:line="480" w:lineRule="auto"/>
        <w:jc w:val="both"/>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2.2. Data collection for the qualitative study</w:t>
      </w:r>
    </w:p>
    <w:p w14:paraId="2E6AA9D4" w14:textId="40D479F2"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Qualitative data were collected via in-depth online interviews with 12 community pharmacists in Ankara. A phenomenological approach was adopted. Participants were recruited voluntarily using a snowball method. To maximize variation, participants previously known to have experienced workplace violence were purposively sampled considering age, gender, pharmacy location, and years of experience. The first interview was conducted with a pharmacist known to have experienced violence, followed by interviews with two pharmacists recommended by the initial participant, continuing until 10 interviews were completed; two additional interviews were conducted to confirm saturation. </w:t>
      </w:r>
      <w:bookmarkStart w:id="1" w:name="_Hlk209966348"/>
      <w:r w:rsidRPr="000C5B3E">
        <w:rPr>
          <w:rFonts w:ascii="Times New Roman" w:eastAsia="Times New Roman" w:hAnsi="Times New Roman" w:cs="Times New Roman"/>
          <w:kern w:val="0"/>
          <w:sz w:val="24"/>
          <w:szCs w:val="24"/>
          <w:lang w:eastAsia="tr-TR"/>
          <w14:ligatures w14:val="none"/>
        </w:rPr>
        <w:t xml:space="preserve">A semi-structured interview guide (Appendix 2) explored occurrence and causes of violence and prevention recommendations. </w:t>
      </w:r>
      <w:bookmarkEnd w:id="1"/>
      <w:r w:rsidRPr="000C5B3E">
        <w:rPr>
          <w:rFonts w:ascii="Times New Roman" w:eastAsia="Times New Roman" w:hAnsi="Times New Roman" w:cs="Times New Roman"/>
          <w:kern w:val="0"/>
          <w:sz w:val="24"/>
          <w:szCs w:val="24"/>
          <w:lang w:eastAsia="tr-TR"/>
          <w14:ligatures w14:val="none"/>
        </w:rPr>
        <w:t xml:space="preserve">The mean interview duration was 23 minutes. Before each interview, participants were informed about study aims and provided consent for audio recording. </w:t>
      </w:r>
      <w:r w:rsidR="00A02A48" w:rsidRPr="000C5B3E">
        <w:rPr>
          <w:rFonts w:ascii="Times New Roman" w:eastAsia="Times New Roman" w:hAnsi="Times New Roman" w:cs="Times New Roman"/>
          <w:kern w:val="0"/>
          <w:sz w:val="24"/>
          <w:szCs w:val="24"/>
          <w:lang w:eastAsia="tr-TR"/>
          <w14:ligatures w14:val="none"/>
        </w:rPr>
        <w:t>All personal information and recordings were kept strictly confidential, were not disclosed to any third parties, and all findings are reported in an anonymized form.</w:t>
      </w:r>
    </w:p>
    <w:p w14:paraId="608BC38A" w14:textId="6F20DC78" w:rsidR="000B6D63" w:rsidRPr="000C5B3E" w:rsidRDefault="000B6D63" w:rsidP="00A02A4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Audio recordings were transcribed verbatim and transferred to digital format. Qualitative data were analyzed using thematic analysis following Braun and Clarke’s seven-phase framework: (1) familiarization, (2) generating initial codes, (3) searching for themes, (4) reviewing themes, (5) defining and naming themes, (6) producing the report, and (7) ensuring reflexivity and transparency throughout [15]. Analyses were conducted in ATLAS.ti v</w:t>
      </w:r>
      <w:r w:rsidR="00A02A48" w:rsidRPr="000C5B3E">
        <w:rPr>
          <w:rFonts w:ascii="Times New Roman" w:eastAsia="Times New Roman" w:hAnsi="Times New Roman" w:cs="Times New Roman"/>
          <w:kern w:val="0"/>
          <w:sz w:val="24"/>
          <w:szCs w:val="24"/>
          <w:lang w:eastAsia="tr-TR"/>
          <w14:ligatures w14:val="none"/>
        </w:rPr>
        <w:t xml:space="preserve">ersion </w:t>
      </w:r>
      <w:r w:rsidRPr="000C5B3E">
        <w:rPr>
          <w:rFonts w:ascii="Times New Roman" w:eastAsia="Times New Roman" w:hAnsi="Times New Roman" w:cs="Times New Roman"/>
          <w:kern w:val="0"/>
          <w:sz w:val="24"/>
          <w:szCs w:val="24"/>
          <w:lang w:eastAsia="tr-TR"/>
          <w14:ligatures w14:val="none"/>
        </w:rPr>
        <w:t xml:space="preserve">24.0 (Scientific Software Development GmbH, Berlin, Germany). To enhance analytic rigor, five researchers participated in coding. Intercoder reliability was supported through independent coding followed by discussion until consensus, in line with Lincoln and Guba’s trustworthiness criteria </w:t>
      </w:r>
      <w:r w:rsidRPr="000C5B3E">
        <w:rPr>
          <w:rFonts w:ascii="Times New Roman" w:eastAsia="Times New Roman" w:hAnsi="Times New Roman" w:cs="Times New Roman"/>
          <w:kern w:val="0"/>
          <w:sz w:val="24"/>
          <w:szCs w:val="24"/>
          <w:lang w:eastAsia="tr-TR"/>
          <w14:ligatures w14:val="none"/>
        </w:rPr>
        <w:lastRenderedPageBreak/>
        <w:t>[16]. Coding consistency was compared across researchers; discrepancies were resolved in iterative consensus meetings. Final themes were developed collaboratively, and illustrative quotations were linked to participant demographics (participant number, gender, years of practice, pharmacy type) to provide contextual depth and enhance transferability. Direct quotations are included to support findings.</w:t>
      </w:r>
    </w:p>
    <w:p w14:paraId="6CD97AB1" w14:textId="77777777"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 Results</w:t>
      </w:r>
    </w:p>
    <w:p w14:paraId="6E44D847" w14:textId="77777777" w:rsidR="000B6D63" w:rsidRPr="000C5B3E" w:rsidRDefault="000B6D63" w:rsidP="002A6F88">
      <w:pPr>
        <w:spacing w:before="100" w:beforeAutospacing="1" w:after="100" w:afterAutospacing="1" w:line="480" w:lineRule="auto"/>
        <w:jc w:val="both"/>
        <w:outlineLvl w:val="2"/>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3.1. Cross-sectional findings</w:t>
      </w:r>
    </w:p>
    <w:p w14:paraId="6229FEEC"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Of 242 participants, 71.9% (n = 174) were pharmacists and 28.1% (n = 68) were pharmacy technicians. The median age of pharmacists was 46.0 years (mean 45.7; range 24–68); for technicians, 35.0 years (mean 34.6; range 23–49). Median years in practice were 22.0 for pharmacists (mean 22.4; range 1–42) and 14.0 for technicians (mean 13.9; range 3–32). Participating pharmacies reported a median of 30 years at the current location (mean 34.5; range 1–50; n = 17). All participating pharmacies reported having security measures.</w:t>
      </w:r>
    </w:p>
    <w:p w14:paraId="00258991" w14:textId="4135A8D9"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Overall, 63.2% (n = 153) experienced at least one violent incident while working in a pharmacy: 58.0% (n = 101) of pharmacists and 76.5% (n = 52) of technicians. The most common form was verbal violence, followed by physical violence (Table 1). Technicians were significantly more likely than pharmacists to experience violence (p = 0.008; OR = 1.891, 95% CI: 1.152–3.103). Perpetrators were most often patients, followed by patients’ relatives and customers (Table 1). There was no significant difference by timing (day v</w:t>
      </w:r>
      <w:r w:rsidR="00A868FB" w:rsidRPr="000C5B3E">
        <w:rPr>
          <w:rFonts w:ascii="Times New Roman" w:eastAsia="Times New Roman" w:hAnsi="Times New Roman" w:cs="Times New Roman"/>
          <w:kern w:val="0"/>
          <w:sz w:val="24"/>
          <w:szCs w:val="24"/>
          <w:lang w:eastAsia="tr-TR"/>
          <w14:ligatures w14:val="none"/>
        </w:rPr>
        <w:t>er</w:t>
      </w:r>
      <w:r w:rsidRPr="000C5B3E">
        <w:rPr>
          <w:rFonts w:ascii="Times New Roman" w:eastAsia="Times New Roman" w:hAnsi="Times New Roman" w:cs="Times New Roman"/>
          <w:kern w:val="0"/>
          <w:sz w:val="24"/>
          <w:szCs w:val="24"/>
          <w:lang w:eastAsia="tr-TR"/>
          <w14:ligatures w14:val="none"/>
        </w:rPr>
        <w:t>s</w:t>
      </w:r>
      <w:r w:rsidR="00A868FB" w:rsidRPr="000C5B3E">
        <w:rPr>
          <w:rFonts w:ascii="Times New Roman" w:eastAsia="Times New Roman" w:hAnsi="Times New Roman" w:cs="Times New Roman"/>
          <w:kern w:val="0"/>
          <w:sz w:val="24"/>
          <w:szCs w:val="24"/>
          <w:lang w:eastAsia="tr-TR"/>
          <w14:ligatures w14:val="none"/>
        </w:rPr>
        <w:t>us</w:t>
      </w:r>
      <w:r w:rsidRPr="000C5B3E">
        <w:rPr>
          <w:rFonts w:ascii="Times New Roman" w:eastAsia="Times New Roman" w:hAnsi="Times New Roman" w:cs="Times New Roman"/>
          <w:kern w:val="0"/>
          <w:sz w:val="24"/>
          <w:szCs w:val="24"/>
          <w:lang w:eastAsia="tr-TR"/>
          <w14:ligatures w14:val="none"/>
        </w:rPr>
        <w:t xml:space="preserve"> night; weekdays v</w:t>
      </w:r>
      <w:r w:rsidR="00A868FB" w:rsidRPr="000C5B3E">
        <w:rPr>
          <w:rFonts w:ascii="Times New Roman" w:eastAsia="Times New Roman" w:hAnsi="Times New Roman" w:cs="Times New Roman"/>
          <w:kern w:val="0"/>
          <w:sz w:val="24"/>
          <w:szCs w:val="24"/>
          <w:lang w:eastAsia="tr-TR"/>
          <w14:ligatures w14:val="none"/>
        </w:rPr>
        <w:t>ersu</w:t>
      </w:r>
      <w:r w:rsidRPr="000C5B3E">
        <w:rPr>
          <w:rFonts w:ascii="Times New Roman" w:eastAsia="Times New Roman" w:hAnsi="Times New Roman" w:cs="Times New Roman"/>
          <w:kern w:val="0"/>
          <w:sz w:val="24"/>
          <w:szCs w:val="24"/>
          <w:lang w:eastAsia="tr-TR"/>
          <w14:ligatures w14:val="none"/>
        </w:rPr>
        <w:t xml:space="preserve">s weekends/public holidays; </w:t>
      </w:r>
      <w:r w:rsidR="00A868FB" w:rsidRPr="000C5B3E">
        <w:rPr>
          <w:rFonts w:ascii="Times New Roman" w:eastAsia="Times New Roman" w:hAnsi="Times New Roman" w:cs="Times New Roman"/>
          <w:kern w:val="0"/>
          <w:sz w:val="24"/>
          <w:szCs w:val="24"/>
          <w:lang w:eastAsia="tr-TR"/>
          <w14:ligatures w14:val="none"/>
        </w:rPr>
        <w:t>p&gt;</w:t>
      </w:r>
      <w:r w:rsidRPr="000C5B3E">
        <w:rPr>
          <w:rFonts w:ascii="Times New Roman" w:eastAsia="Times New Roman" w:hAnsi="Times New Roman" w:cs="Times New Roman"/>
          <w:kern w:val="0"/>
          <w:sz w:val="24"/>
          <w:szCs w:val="24"/>
          <w:lang w:eastAsia="tr-TR"/>
          <w14:ligatures w14:val="none"/>
        </w:rPr>
        <w:t xml:space="preserve"> 0.05).</w:t>
      </w:r>
    </w:p>
    <w:p w14:paraId="3B1B2D62"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Contributors to violence included rising societal violence (most frequently cited), followed by problems within the health care system (Table 2). Many participants reported responding </w:t>
      </w:r>
      <w:r w:rsidRPr="000C5B3E">
        <w:rPr>
          <w:rFonts w:ascii="Times New Roman" w:eastAsia="Times New Roman" w:hAnsi="Times New Roman" w:cs="Times New Roman"/>
          <w:kern w:val="0"/>
          <w:sz w:val="24"/>
          <w:szCs w:val="24"/>
          <w:lang w:eastAsia="tr-TR"/>
          <w14:ligatures w14:val="none"/>
        </w:rPr>
        <w:lastRenderedPageBreak/>
        <w:t>verbally and initiating legal processes; however, burnout and the perception that violence is “part of the job” were commonly cited reasons for not filing complaints.</w:t>
      </w:r>
    </w:p>
    <w:p w14:paraId="1CA8DACD" w14:textId="5CFE3A54"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No gender difference in exposure was observed among pharmacists (p = 0.784). Among technicians, females reported significantly higher exposure than males (p </w:t>
      </w:r>
      <w:r w:rsidR="00A868FB" w:rsidRPr="000C5B3E">
        <w:rPr>
          <w:rFonts w:ascii="Times New Roman" w:eastAsia="Times New Roman" w:hAnsi="Times New Roman" w:cs="Times New Roman"/>
          <w:kern w:val="0"/>
          <w:sz w:val="24"/>
          <w:szCs w:val="24"/>
          <w:lang w:eastAsia="tr-TR"/>
          <w14:ligatures w14:val="none"/>
        </w:rPr>
        <w:t>&lt;0.001</w:t>
      </w:r>
      <w:r w:rsidRPr="000C5B3E">
        <w:rPr>
          <w:rFonts w:ascii="Times New Roman" w:eastAsia="Times New Roman" w:hAnsi="Times New Roman" w:cs="Times New Roman"/>
          <w:kern w:val="0"/>
          <w:sz w:val="24"/>
          <w:szCs w:val="24"/>
          <w:lang w:eastAsia="tr-TR"/>
          <w14:ligatures w14:val="none"/>
        </w:rPr>
        <w:t>; OR = 4.205; 95% CI: 1.502–11.775). Among pharmacists, exposure was not associated with years of practice but showed a positive association with age (p = 0.033; r = 0.16). Among technicians, neither age nor years of experience was associated with exposure (p = 0.275; p = 0.205).</w:t>
      </w:r>
    </w:p>
    <w:p w14:paraId="14DEB64E" w14:textId="43AF6663"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Pharmacy district was not associated with exposure (</w:t>
      </w:r>
      <w:r w:rsidR="00A868FB" w:rsidRPr="000C5B3E">
        <w:rPr>
          <w:rFonts w:ascii="Times New Roman" w:eastAsia="Times New Roman" w:hAnsi="Times New Roman" w:cs="Times New Roman"/>
          <w:kern w:val="0"/>
          <w:sz w:val="24"/>
          <w:szCs w:val="24"/>
          <w:lang w:eastAsia="tr-TR"/>
          <w14:ligatures w14:val="none"/>
        </w:rPr>
        <w:t>p&gt;</w:t>
      </w:r>
      <w:r w:rsidRPr="000C5B3E">
        <w:rPr>
          <w:rFonts w:ascii="Times New Roman" w:eastAsia="Times New Roman" w:hAnsi="Times New Roman" w:cs="Times New Roman"/>
          <w:kern w:val="0"/>
          <w:sz w:val="24"/>
          <w:szCs w:val="24"/>
          <w:lang w:eastAsia="tr-TR"/>
          <w14:ligatures w14:val="none"/>
        </w:rPr>
        <w:t xml:space="preserve"> 0.05). Exposure differed by location type (p </w:t>
      </w:r>
      <w:r w:rsidR="00A868FB" w:rsidRPr="000C5B3E">
        <w:rPr>
          <w:rFonts w:ascii="Times New Roman" w:eastAsia="Times New Roman" w:hAnsi="Times New Roman" w:cs="Times New Roman"/>
          <w:kern w:val="0"/>
          <w:sz w:val="24"/>
          <w:szCs w:val="24"/>
          <w:lang w:eastAsia="tr-TR"/>
          <w14:ligatures w14:val="none"/>
        </w:rPr>
        <w:t>&lt;0.001</w:t>
      </w:r>
      <w:r w:rsidRPr="000C5B3E">
        <w:rPr>
          <w:rFonts w:ascii="Times New Roman" w:eastAsia="Times New Roman" w:hAnsi="Times New Roman" w:cs="Times New Roman"/>
          <w:kern w:val="0"/>
          <w:sz w:val="24"/>
          <w:szCs w:val="24"/>
          <w:lang w:eastAsia="tr-TR"/>
          <w14:ligatures w14:val="none"/>
        </w:rPr>
        <w:t xml:space="preserve">): those working in mall-based pharmacies reported more frequent incidents, whereas street-level pharmacies reported the least (p </w:t>
      </w:r>
      <w:r w:rsidR="00A868FB" w:rsidRPr="000C5B3E">
        <w:rPr>
          <w:rFonts w:ascii="Times New Roman" w:eastAsia="Times New Roman" w:hAnsi="Times New Roman" w:cs="Times New Roman"/>
          <w:kern w:val="0"/>
          <w:sz w:val="24"/>
          <w:szCs w:val="24"/>
          <w:lang w:eastAsia="tr-TR"/>
          <w14:ligatures w14:val="none"/>
        </w:rPr>
        <w:t>&lt;0.001</w:t>
      </w:r>
      <w:r w:rsidRPr="000C5B3E">
        <w:rPr>
          <w:rFonts w:ascii="Times New Roman" w:eastAsia="Times New Roman" w:hAnsi="Times New Roman" w:cs="Times New Roman"/>
          <w:kern w:val="0"/>
          <w:sz w:val="24"/>
          <w:szCs w:val="24"/>
          <w:lang w:eastAsia="tr-TR"/>
          <w14:ligatures w14:val="none"/>
        </w:rPr>
        <w:t>). On-call status, frequency of on-call shifts, number of pharmacists/technicians, and presence of extra staff during on-call hours were not associated with exposure (</w:t>
      </w:r>
      <w:r w:rsidR="00A868FB" w:rsidRPr="000C5B3E">
        <w:rPr>
          <w:rFonts w:ascii="Times New Roman" w:eastAsia="Times New Roman" w:hAnsi="Times New Roman" w:cs="Times New Roman"/>
          <w:kern w:val="0"/>
          <w:sz w:val="24"/>
          <w:szCs w:val="24"/>
          <w:lang w:eastAsia="tr-TR"/>
          <w14:ligatures w14:val="none"/>
        </w:rPr>
        <w:t>p&gt;</w:t>
      </w:r>
      <w:r w:rsidRPr="000C5B3E">
        <w:rPr>
          <w:rFonts w:ascii="Times New Roman" w:eastAsia="Times New Roman" w:hAnsi="Times New Roman" w:cs="Times New Roman"/>
          <w:kern w:val="0"/>
          <w:sz w:val="24"/>
          <w:szCs w:val="24"/>
          <w:lang w:eastAsia="tr-TR"/>
          <w14:ligatures w14:val="none"/>
        </w:rPr>
        <w:t xml:space="preserve"> 0.05).</w:t>
      </w:r>
    </w:p>
    <w:p w14:paraId="3F047AEB" w14:textId="465E52DB"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Prior training on workplace violence was uncommon and not associated with exposure (</w:t>
      </w:r>
      <w:r w:rsidR="00A868FB" w:rsidRPr="000C5B3E">
        <w:rPr>
          <w:rFonts w:ascii="Times New Roman" w:eastAsia="Times New Roman" w:hAnsi="Times New Roman" w:cs="Times New Roman"/>
          <w:kern w:val="0"/>
          <w:sz w:val="24"/>
          <w:szCs w:val="24"/>
          <w:lang w:eastAsia="tr-TR"/>
          <w14:ligatures w14:val="none"/>
        </w:rPr>
        <w:t>p&gt;</w:t>
      </w:r>
      <w:r w:rsidRPr="000C5B3E">
        <w:rPr>
          <w:rFonts w:ascii="Times New Roman" w:eastAsia="Times New Roman" w:hAnsi="Times New Roman" w:cs="Times New Roman"/>
          <w:kern w:val="0"/>
          <w:sz w:val="24"/>
          <w:szCs w:val="24"/>
          <w:lang w:eastAsia="tr-TR"/>
          <w14:ligatures w14:val="none"/>
        </w:rPr>
        <w:t xml:space="preserve"> 0.05). Those who had experienced violence reported higher moderate-to-high concern about workplace violence (pharmacists p </w:t>
      </w:r>
      <w:r w:rsidR="00A868FB" w:rsidRPr="000C5B3E">
        <w:rPr>
          <w:rFonts w:ascii="Times New Roman" w:eastAsia="Times New Roman" w:hAnsi="Times New Roman" w:cs="Times New Roman"/>
          <w:kern w:val="0"/>
          <w:sz w:val="24"/>
          <w:szCs w:val="24"/>
          <w:lang w:eastAsia="tr-TR"/>
          <w14:ligatures w14:val="none"/>
        </w:rPr>
        <w:t>&lt;0.001</w:t>
      </w:r>
      <w:r w:rsidRPr="000C5B3E">
        <w:rPr>
          <w:rFonts w:ascii="Times New Roman" w:eastAsia="Times New Roman" w:hAnsi="Times New Roman" w:cs="Times New Roman"/>
          <w:kern w:val="0"/>
          <w:sz w:val="24"/>
          <w:szCs w:val="24"/>
          <w:lang w:eastAsia="tr-TR"/>
          <w14:ligatures w14:val="none"/>
        </w:rPr>
        <w:t>; technicians p = 0.018).</w:t>
      </w:r>
    </w:p>
    <w:p w14:paraId="29EC6622" w14:textId="77777777" w:rsidR="000B6D63" w:rsidRPr="000C5B3E" w:rsidRDefault="000B6D63" w:rsidP="002A6F88">
      <w:pPr>
        <w:spacing w:before="100" w:beforeAutospacing="1" w:after="100" w:afterAutospacing="1" w:line="480" w:lineRule="auto"/>
        <w:jc w:val="both"/>
        <w:outlineLvl w:val="2"/>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3.2. DASS-21 findings</w:t>
      </w:r>
    </w:p>
    <w:p w14:paraId="6D16FB3E"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DASS-21 outcomes are shown in Table 3. </w:t>
      </w:r>
      <w:bookmarkStart w:id="2" w:name="_Hlk209966244"/>
      <w:r w:rsidRPr="000C5B3E">
        <w:rPr>
          <w:rFonts w:ascii="Times New Roman" w:eastAsia="Times New Roman" w:hAnsi="Times New Roman" w:cs="Times New Roman"/>
          <w:kern w:val="0"/>
          <w:sz w:val="24"/>
          <w:szCs w:val="24"/>
          <w:lang w:eastAsia="tr-TR"/>
          <w14:ligatures w14:val="none"/>
        </w:rPr>
        <w:t xml:space="preserve">Among pharmacists, depression was classified as normal in 75.3% (n = 131), mild in 18.4% (n = 32), and moderate in 6.3% (n = 11). Anxiety was normal in 86.2% (n = 150), mild in 10.9% (n = 19), and moderate in 2.9% (n = 5); all pharmacists were in the normal range for stress. Among technicians, depression was normal in 58.8% (n = 40), mild in 23.5% (n = 16), and moderate in 17.6% (n = 12). Anxiety was normal in 75.0% (n = 51), mild in 13.2% (n = 9), moderate in 8.8% (n = 6), and severe in 2.9% (n = 2). </w:t>
      </w:r>
      <w:r w:rsidRPr="000C5B3E">
        <w:rPr>
          <w:rFonts w:ascii="Times New Roman" w:eastAsia="Times New Roman" w:hAnsi="Times New Roman" w:cs="Times New Roman"/>
          <w:kern w:val="0"/>
          <w:sz w:val="24"/>
          <w:szCs w:val="24"/>
          <w:lang w:eastAsia="tr-TR"/>
          <w14:ligatures w14:val="none"/>
        </w:rPr>
        <w:lastRenderedPageBreak/>
        <w:t>For stress, all technicians were within the normal range except one (mild).</w:t>
      </w:r>
      <w:bookmarkEnd w:id="2"/>
      <w:r w:rsidRPr="000C5B3E">
        <w:rPr>
          <w:rFonts w:ascii="Times New Roman" w:eastAsia="Times New Roman" w:hAnsi="Times New Roman" w:cs="Times New Roman"/>
          <w:kern w:val="0"/>
          <w:sz w:val="24"/>
          <w:szCs w:val="24"/>
          <w:lang w:eastAsia="tr-TR"/>
          <w14:ligatures w14:val="none"/>
        </w:rPr>
        <w:t xml:space="preserve"> Technicians’ anxiety scores were significantly higher than those of pharmacists (p = 0.042).</w:t>
      </w:r>
    </w:p>
    <w:p w14:paraId="25B17203" w14:textId="6ECF6654"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No significant differences in DASS-21 scores were observed by gender, marital status, age group, education, or job satisfaction (</w:t>
      </w:r>
      <w:r w:rsidR="00A868FB" w:rsidRPr="000C5B3E">
        <w:rPr>
          <w:rFonts w:ascii="Times New Roman" w:eastAsia="Times New Roman" w:hAnsi="Times New Roman" w:cs="Times New Roman"/>
          <w:kern w:val="0"/>
          <w:sz w:val="24"/>
          <w:szCs w:val="24"/>
          <w:lang w:eastAsia="tr-TR"/>
          <w14:ligatures w14:val="none"/>
        </w:rPr>
        <w:t>p&gt;</w:t>
      </w:r>
      <w:r w:rsidRPr="000C5B3E">
        <w:rPr>
          <w:rFonts w:ascii="Times New Roman" w:eastAsia="Times New Roman" w:hAnsi="Times New Roman" w:cs="Times New Roman"/>
          <w:kern w:val="0"/>
          <w:sz w:val="24"/>
          <w:szCs w:val="24"/>
          <w:lang w:eastAsia="tr-TR"/>
          <w14:ligatures w14:val="none"/>
        </w:rPr>
        <w:t xml:space="preserve"> 0.05). Among pharmacists, choosing the profession willingly was not associated with DASS-21 scores; among technicians, those who chose the profession willingly had higher stress and anxiety scores (p = 0.010; p = 0.019).</w:t>
      </w:r>
    </w:p>
    <w:p w14:paraId="117D208E" w14:textId="0127FCB7" w:rsidR="000E0D01" w:rsidRPr="000C5B3E" w:rsidRDefault="000B6D63" w:rsidP="000E0D01">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Among pharmacists, exposure to violence was associated with lower stress and depression scores (p = 0.013; p = 0.026</w:t>
      </w:r>
      <w:r w:rsidR="00DB1598" w:rsidRPr="000C5B3E">
        <w:rPr>
          <w:rFonts w:ascii="Times New Roman" w:eastAsia="Times New Roman" w:hAnsi="Times New Roman" w:cs="Times New Roman"/>
          <w:kern w:val="0"/>
          <w:sz w:val="24"/>
          <w:szCs w:val="24"/>
          <w:lang w:eastAsia="tr-TR"/>
          <w14:ligatures w14:val="none"/>
        </w:rPr>
        <w:t>, respectively</w:t>
      </w:r>
      <w:r w:rsidRPr="000C5B3E">
        <w:rPr>
          <w:rFonts w:ascii="Times New Roman" w:eastAsia="Times New Roman" w:hAnsi="Times New Roman" w:cs="Times New Roman"/>
          <w:kern w:val="0"/>
          <w:sz w:val="24"/>
          <w:szCs w:val="24"/>
          <w:lang w:eastAsia="tr-TR"/>
          <w14:ligatures w14:val="none"/>
        </w:rPr>
        <w:t>). Among technicians, exposure was not associated with stress, depression, or anxiety (</w:t>
      </w:r>
      <w:r w:rsidR="00DB1598" w:rsidRPr="000C5B3E">
        <w:rPr>
          <w:rFonts w:ascii="Times New Roman" w:eastAsia="Times New Roman" w:hAnsi="Times New Roman" w:cs="Times New Roman"/>
          <w:kern w:val="0"/>
          <w:sz w:val="24"/>
          <w:szCs w:val="24"/>
          <w:lang w:eastAsia="tr-TR"/>
          <w14:ligatures w14:val="none"/>
        </w:rPr>
        <w:t>p&gt;</w:t>
      </w:r>
      <w:r w:rsidRPr="000C5B3E">
        <w:rPr>
          <w:rFonts w:ascii="Times New Roman" w:eastAsia="Times New Roman" w:hAnsi="Times New Roman" w:cs="Times New Roman"/>
          <w:kern w:val="0"/>
          <w:sz w:val="24"/>
          <w:szCs w:val="24"/>
          <w:lang w:eastAsia="tr-TR"/>
          <w14:ligatures w14:val="none"/>
        </w:rPr>
        <w:t xml:space="preserve"> 0.05). When both groups were evaluated together, those exposed to sexual violence had significantly higher stress scores (p = 0.049). </w:t>
      </w:r>
      <w:r w:rsidR="000E0D01" w:rsidRPr="000C5B3E">
        <w:rPr>
          <w:rFonts w:ascii="Times New Roman" w:eastAsia="Times New Roman" w:hAnsi="Times New Roman" w:cs="Times New Roman"/>
          <w:kern w:val="0"/>
          <w:sz w:val="24"/>
          <w:szCs w:val="24"/>
          <w:lang w:eastAsia="tr-TR"/>
          <w14:ligatures w14:val="none"/>
        </w:rPr>
        <w:t>No statistically significant differences in DASS-21 scores were observed based on the district of the pharmacy, type of location, on-call status, frequency of on-call shifts, presence of additional staff during on-call hours, or whether the pharmacy was situated in a perceived safe area (p&gt; 0.05).</w:t>
      </w:r>
    </w:p>
    <w:p w14:paraId="0A7CD72E" w14:textId="453B5D75" w:rsidR="000B6D63" w:rsidRPr="000C5B3E" w:rsidRDefault="000B6D63" w:rsidP="000E0D01">
      <w:pPr>
        <w:spacing w:before="100" w:beforeAutospacing="1" w:after="100" w:afterAutospacing="1" w:line="480" w:lineRule="auto"/>
        <w:jc w:val="both"/>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3.3. Qualitative findings</w:t>
      </w:r>
    </w:p>
    <w:p w14:paraId="7257A758" w14:textId="7EABE16A" w:rsidR="000B6D63" w:rsidRPr="000C5B3E" w:rsidRDefault="000E0D01"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Twelve pharmacists participated in the study (4 males, 8 females), with a mean age of 35.5 years and an average of 13.6 years of professional experience. </w:t>
      </w:r>
      <w:r w:rsidR="000B6D63" w:rsidRPr="000C5B3E">
        <w:rPr>
          <w:rFonts w:ascii="Times New Roman" w:eastAsia="Times New Roman" w:hAnsi="Times New Roman" w:cs="Times New Roman"/>
          <w:kern w:val="0"/>
          <w:sz w:val="24"/>
          <w:szCs w:val="24"/>
          <w:lang w:eastAsia="tr-TR"/>
          <w14:ligatures w14:val="none"/>
        </w:rPr>
        <w:t xml:space="preserve">Participant characteristics are presented in Table 4. Thematic analysis identified four main themes: (1) Causes of violence; (2) Reactions to violence; (3) Emotional and professional impact; (4) Protective measures and recommendations. </w:t>
      </w:r>
      <w:r w:rsidRPr="000C5B3E">
        <w:rPr>
          <w:rFonts w:ascii="Times New Roman" w:eastAsia="Times New Roman" w:hAnsi="Times New Roman" w:cs="Times New Roman"/>
          <w:kern w:val="0"/>
          <w:sz w:val="24"/>
          <w:szCs w:val="24"/>
          <w:lang w:eastAsia="tr-TR"/>
          <w14:ligatures w14:val="none"/>
        </w:rPr>
        <w:t xml:space="preserve">The data reflect the diverse experiences of violence encountered by pharmacists across different practice settings, with verbal abuse emerging as the predominant form. Several participants reported exposure to multiple forms of violence, underscoring significant safety concerns within their work environments. The identified themes and </w:t>
      </w:r>
      <w:r w:rsidRPr="000C5B3E">
        <w:rPr>
          <w:rFonts w:ascii="Times New Roman" w:eastAsia="Times New Roman" w:hAnsi="Times New Roman" w:cs="Times New Roman"/>
          <w:kern w:val="0"/>
          <w:sz w:val="24"/>
          <w:szCs w:val="24"/>
          <w:lang w:eastAsia="tr-TR"/>
          <w14:ligatures w14:val="none"/>
        </w:rPr>
        <w:lastRenderedPageBreak/>
        <w:t>subthemes capture various dimensions of these experiences, including contributing factors, emotional consequences, and strategies for prevention.</w:t>
      </w:r>
    </w:p>
    <w:p w14:paraId="27BBDE8B" w14:textId="77777777" w:rsidR="000B6D63" w:rsidRPr="000C5B3E" w:rsidRDefault="000B6D63" w:rsidP="002A6F88">
      <w:pPr>
        <w:spacing w:before="100" w:beforeAutospacing="1" w:after="100" w:afterAutospacing="1" w:line="480" w:lineRule="auto"/>
        <w:jc w:val="both"/>
        <w:outlineLvl w:val="3"/>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3.3.1. Themes and sub-themes</w:t>
      </w:r>
    </w:p>
    <w:p w14:paraId="4E793952" w14:textId="2063B152" w:rsidR="00395658" w:rsidRPr="000C5B3E" w:rsidRDefault="004220B9"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Themes and sub-themes are presented in Table 5.</w:t>
      </w:r>
    </w:p>
    <w:p w14:paraId="5EF827EA" w14:textId="2620AC28" w:rsidR="000E0D01"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3.3.1.1. Causes of violence</w:t>
      </w:r>
    </w:p>
    <w:p w14:paraId="6D5552D6" w14:textId="426CB212"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Violence was attributed to economic hardship and health policy issues (e.g., disputes over prescription regulations and medication costs), societal expectations, patient frustration, poor communication, and inadequate working conditions:</w:t>
      </w:r>
    </w:p>
    <w:p w14:paraId="7D57BB7F"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“Things like the pharmacist collecting the examination fee and medication co-payments increase the financial burden on patients… economic reasons become one of the most important causes of violence.” (P1, F, 54, independent pharmacist 31 years)</w:t>
      </w:r>
    </w:p>
    <w:p w14:paraId="118DC56C" w14:textId="1686AD47" w:rsidR="001A5799" w:rsidRPr="000C5B3E" w:rsidRDefault="001A5799"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“I think there are two reasons: the public's lack of sufficient knowledge, not knowing where to find a solution, helplessness, and ignorance.” (P9, M, 27, independent pharmacist, 3 years)</w:t>
      </w:r>
    </w:p>
    <w:p w14:paraId="29C0FCBC"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“There seems to be a general problem in society… no one has any respect for anyone anymore, so the patient has no respect for the pharmacist either.” (P12, F, 36, independent pharmacist 11 years)</w:t>
      </w:r>
    </w:p>
    <w:p w14:paraId="17900120" w14:textId="4BA674EC" w:rsidR="001A5799" w:rsidRPr="000C5B3E" w:rsidRDefault="001A5799" w:rsidP="001A5799">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“Since the hospital environment is generally the topic, you know that pharmacists are also very alone there. After all, they are not within an institutional structure. Even if the 'white code' [emergency alert] doesn't work, you know, in a hospital setting, one has security personnel, a caretaker, a nurse, a doctor, a colleague. In the pharmacy, it's not like that. You are alone.” (P1, F, 54, independent pharmacist, 31 years)</w:t>
      </w:r>
    </w:p>
    <w:p w14:paraId="4040F8A7" w14:textId="56221FB4" w:rsidR="001A5799" w:rsidRPr="000C5B3E" w:rsidRDefault="001A5799"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i/>
          <w:iCs/>
          <w:kern w:val="0"/>
          <w:sz w:val="24"/>
          <w:szCs w:val="24"/>
          <w:lang w:eastAsia="tr-TR"/>
          <w14:ligatures w14:val="none"/>
        </w:rPr>
        <w:lastRenderedPageBreak/>
        <w:t>“</w:t>
      </w:r>
      <w:r w:rsidR="003B3A1F" w:rsidRPr="000C5B3E">
        <w:rPr>
          <w:rFonts w:ascii="Times New Roman" w:eastAsia="Times New Roman" w:hAnsi="Times New Roman" w:cs="Times New Roman"/>
          <w:kern w:val="0"/>
          <w:sz w:val="24"/>
          <w:szCs w:val="24"/>
          <w:lang w:eastAsia="tr-TR"/>
          <w14:ligatures w14:val="none"/>
        </w:rPr>
        <w:t>T</w:t>
      </w:r>
      <w:r w:rsidRPr="000C5B3E">
        <w:rPr>
          <w:rFonts w:ascii="Times New Roman" w:eastAsia="Times New Roman" w:hAnsi="Times New Roman" w:cs="Times New Roman"/>
          <w:kern w:val="0"/>
          <w:sz w:val="24"/>
          <w:szCs w:val="24"/>
          <w:lang w:eastAsia="tr-TR"/>
          <w14:ligatures w14:val="none"/>
        </w:rPr>
        <w:t>hey generally experience physical violence in, you know, places. They are located in more remote areas, further from security measures. It might be easier to access those types of pharmacies, to be more precise.” (P6, F, 38, independent pharmacist, 13 years)</w:t>
      </w:r>
    </w:p>
    <w:p w14:paraId="595889CA" w14:textId="77777777" w:rsidR="003B3A1F" w:rsidRPr="000C5B3E" w:rsidRDefault="000B6D63" w:rsidP="002A6F88">
      <w:pPr>
        <w:spacing w:before="100" w:beforeAutospacing="1" w:after="100" w:afterAutospacing="1" w:line="480" w:lineRule="auto"/>
        <w:jc w:val="both"/>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3.3.1.2. Reactions to violence</w:t>
      </w:r>
    </w:p>
    <w:p w14:paraId="6BAC8D0A" w14:textId="73B7482B"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Pharmacists reported using panic buttons, non-confrontational de-escalation, and calling the police, but were hesitant to report incidents due to fear of retaliation and limited confidence in the legal system:</w:t>
      </w:r>
    </w:p>
    <w:p w14:paraId="55ABA32E"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“Generally, our first preference, if it’s something we cannot resolve by communicating… is to call the police.” (P6, F, 38, independent pharmacist 13 years)</w:t>
      </w:r>
    </w:p>
    <w:p w14:paraId="7DA7B0E9" w14:textId="04796893" w:rsidR="003B3A1F" w:rsidRPr="000C5B3E" w:rsidRDefault="003B3A1F"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“The police can't hold them either; there's a limit to how long they can detain them, and then it's over. Even if they are jailed, there's parole, this and that, somehow... something happens, and they are released. Frankly, I don't want to make these people a problem for myself. Of course, if I'm in real trouble, calling the police and relying on them is the only thing I can do.” (P8, F, 55, independent pharmacist, 30 years)</w:t>
      </w:r>
    </w:p>
    <w:p w14:paraId="34A000F1"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“I don’t have much trust in the judicial process… It’s only about getting through the moment and avoiding physical harm.” (P10, M, 25, independent pharmacist 1 year)</w:t>
      </w:r>
    </w:p>
    <w:p w14:paraId="21150AB7" w14:textId="77777777" w:rsidR="003B3A1F" w:rsidRPr="000C5B3E" w:rsidRDefault="000B6D63" w:rsidP="002A6F88">
      <w:pPr>
        <w:spacing w:before="100" w:beforeAutospacing="1" w:after="100" w:afterAutospacing="1" w:line="480" w:lineRule="auto"/>
        <w:jc w:val="both"/>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3.3.1.3. Emotional and professional impact</w:t>
      </w:r>
    </w:p>
    <w:p w14:paraId="7950E03C" w14:textId="486335D5"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Emotions included fear, anger, and disappointment. Some reported lasting impacts on trust and motivation; others described resilience, albeit with increased vigilance. A few considered leaving the profession:</w:t>
      </w:r>
    </w:p>
    <w:p w14:paraId="2EB3D431" w14:textId="0B8C62DF" w:rsidR="00807248" w:rsidRPr="000C5B3E" w:rsidRDefault="00807248"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lastRenderedPageBreak/>
        <w:t>“The police can't hold them either; there's a limit to how long they can detain them, and then it's over. Even if they are jailed, there's parole, this and that, somehow... something happens, and they are released. Frankly, I don't want to make these people a problem for myself. Of course, if I'm in real trouble, calling the police and relying on them is the only thing I can do.” (P8, F, 55, independent pharmacist, 30 years)</w:t>
      </w:r>
    </w:p>
    <w:p w14:paraId="56DFD074" w14:textId="28BE03B0" w:rsidR="00B61933" w:rsidRPr="000C5B3E" w:rsidRDefault="00B6193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“I am afraid now. Apart from that, you feel sorry for your colleagues, I mean, when you empathize. Let's say my trust and love for my own people are diminishing.” (P10, M, 25, independent pharmacist, 1 year)</w:t>
      </w:r>
    </w:p>
    <w:p w14:paraId="2EB750F7" w14:textId="199D7ADD"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“You experience a serious loss of motivation professionally, and you ask, is it worth struggling for this?” (P6, F, 38</w:t>
      </w:r>
      <w:r w:rsidR="00807248" w:rsidRPr="000C5B3E">
        <w:rPr>
          <w:rFonts w:ascii="Times New Roman" w:eastAsia="Times New Roman" w:hAnsi="Times New Roman" w:cs="Times New Roman"/>
          <w:kern w:val="0"/>
          <w:sz w:val="24"/>
          <w:szCs w:val="24"/>
          <w:lang w:eastAsia="tr-TR"/>
          <w14:ligatures w14:val="none"/>
        </w:rPr>
        <w:t>, independent pharmacist, 13 years</w:t>
      </w:r>
      <w:r w:rsidRPr="000C5B3E">
        <w:rPr>
          <w:rFonts w:ascii="Times New Roman" w:eastAsia="Times New Roman" w:hAnsi="Times New Roman" w:cs="Times New Roman"/>
          <w:kern w:val="0"/>
          <w:sz w:val="24"/>
          <w:szCs w:val="24"/>
          <w:lang w:eastAsia="tr-TR"/>
          <w14:ligatures w14:val="none"/>
        </w:rPr>
        <w:t>)</w:t>
      </w:r>
    </w:p>
    <w:p w14:paraId="609C94FE" w14:textId="7192956F" w:rsidR="00B61933" w:rsidRPr="000C5B3E" w:rsidRDefault="00B6193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“I have decided that I no longer want to be an independent pharmacy owner. Because I have decided that I do not want to deal with these people in this way. I don't want to be face-to-face with patients so much. I don't want to be in a position within the profession where I provide patient counseling in an independent pharmacy. I can say I have become directly disillusioned with the profession because of this.” (P9, M, 27, independent pharmacist, 3 years)</w:t>
      </w:r>
    </w:p>
    <w:p w14:paraId="1F6D7479" w14:textId="77777777" w:rsidR="00B6193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3.3.1.4. Protective measures and recommendations</w:t>
      </w:r>
      <w:r w:rsidRPr="000C5B3E">
        <w:rPr>
          <w:rFonts w:ascii="Times New Roman" w:eastAsia="Times New Roman" w:hAnsi="Times New Roman" w:cs="Times New Roman"/>
          <w:kern w:val="0"/>
          <w:sz w:val="24"/>
          <w:szCs w:val="24"/>
          <w:lang w:eastAsia="tr-TR"/>
          <w14:ligatures w14:val="none"/>
        </w:rPr>
        <w:t xml:space="preserve"> </w:t>
      </w:r>
    </w:p>
    <w:p w14:paraId="49A9CE40" w14:textId="69D80610"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Participants recommended physical security enhancements (cameras, shutters, mobile alerts), institutional support, stronger legal regulations, extension of </w:t>
      </w:r>
      <w:r w:rsidRPr="000C5B3E">
        <w:rPr>
          <w:rFonts w:ascii="Times New Roman" w:eastAsia="Times New Roman" w:hAnsi="Times New Roman" w:cs="Times New Roman"/>
          <w:i/>
          <w:iCs/>
          <w:kern w:val="0"/>
          <w:sz w:val="24"/>
          <w:szCs w:val="24"/>
          <w:lang w:eastAsia="tr-TR"/>
          <w14:ligatures w14:val="none"/>
        </w:rPr>
        <w:t>White Code</w:t>
      </w:r>
      <w:r w:rsidRPr="000C5B3E">
        <w:rPr>
          <w:rFonts w:ascii="Times New Roman" w:eastAsia="Times New Roman" w:hAnsi="Times New Roman" w:cs="Times New Roman"/>
          <w:kern w:val="0"/>
          <w:sz w:val="24"/>
          <w:szCs w:val="24"/>
          <w:lang w:eastAsia="tr-TR"/>
          <w14:ligatures w14:val="none"/>
        </w:rPr>
        <w:t xml:space="preserve"> to community pharmacies, and public education:</w:t>
      </w:r>
    </w:p>
    <w:p w14:paraId="3BF53657" w14:textId="69DB4207" w:rsidR="00110FEA" w:rsidRPr="000C5B3E" w:rsidRDefault="00110FEA"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Penalties could be increased. Other than that, actually, is education. Education is certainly necessary; it's not something that will happen immediately in the short term, but perhaps </w:t>
      </w:r>
      <w:r w:rsidRPr="000C5B3E">
        <w:rPr>
          <w:rFonts w:ascii="Times New Roman" w:eastAsia="Times New Roman" w:hAnsi="Times New Roman" w:cs="Times New Roman"/>
          <w:kern w:val="0"/>
          <w:sz w:val="24"/>
          <w:szCs w:val="24"/>
          <w:lang w:eastAsia="tr-TR"/>
          <w14:ligatures w14:val="none"/>
        </w:rPr>
        <w:lastRenderedPageBreak/>
        <w:t>through films and TV series, instead of mafia-type things, the respectability of doctors and pharmacists could be emphasized a little.” (P8, F, 55, independent pharmacist, 30 years)</w:t>
      </w:r>
    </w:p>
    <w:p w14:paraId="125A41C6" w14:textId="05FE0214"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“White Code… should perhaps be extended to violence in pharmacies… the process of being called to give a statement and a public lawsuit could be a deterrent.” (P12, F, 36</w:t>
      </w:r>
      <w:r w:rsidR="00110FEA" w:rsidRPr="000C5B3E">
        <w:rPr>
          <w:rFonts w:ascii="Times New Roman" w:eastAsia="Times New Roman" w:hAnsi="Times New Roman" w:cs="Times New Roman"/>
          <w:kern w:val="0"/>
          <w:sz w:val="24"/>
          <w:szCs w:val="24"/>
          <w:lang w:eastAsia="tr-TR"/>
          <w14:ligatures w14:val="none"/>
        </w:rPr>
        <w:t>, independent paharmacist, 11 years</w:t>
      </w:r>
      <w:r w:rsidRPr="000C5B3E">
        <w:rPr>
          <w:rFonts w:ascii="Times New Roman" w:eastAsia="Times New Roman" w:hAnsi="Times New Roman" w:cs="Times New Roman"/>
          <w:kern w:val="0"/>
          <w:sz w:val="24"/>
          <w:szCs w:val="24"/>
          <w:lang w:eastAsia="tr-TR"/>
          <w14:ligatures w14:val="none"/>
        </w:rPr>
        <w:t>)</w:t>
      </w:r>
    </w:p>
    <w:p w14:paraId="33B60CD1" w14:textId="3822AD60" w:rsidR="00110FEA" w:rsidRPr="000C5B3E" w:rsidRDefault="00110FEA" w:rsidP="00110FEA">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“We are positioned as first-class healthcare professionals. Legally we are, the ministry can use it this way when it suits them, but the issue of discreditation needs to be resolved, of course, alongside not being able to protect the physician in the hospital either. The discourse on social media, like 'the pharmacist is black-marketing medicines' or 'they have a deal with the company,' needs to be removed. I expect them not to direct the aggressive energy towards pharmacists onto the pharmacists themselves.” (P6, F, 38, independent pharmacist, 13 years)</w:t>
      </w:r>
    </w:p>
    <w:p w14:paraId="2B99F836" w14:textId="4C6E59A1" w:rsidR="000B6D63" w:rsidRPr="000C5B3E" w:rsidRDefault="00110FEA" w:rsidP="00110FEA">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“I believe patients should absolutely be informed about the processes in the pharmacy. There should be points where they understand that the person opposite them cannot produce a solution. Because the patient always thinks we can solve everything but are choosing not to because we want to make things difficult, and this misunderstanding, stemming from a lack of knowledge, can create anger.” (P9, M, 27, independent pharmacist ,3 years)</w:t>
      </w:r>
    </w:p>
    <w:p w14:paraId="4CD3FAB2" w14:textId="77777777"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4. Discussion</w:t>
      </w:r>
    </w:p>
    <w:p w14:paraId="7B4558A6"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Violence in community pharmacies is a pervasive occupational hazard that undermines safety, erodes job satisfaction, and threatens the quality of pharmaceutical care. This study is among the first mixed-methods examinations of prevalence, nature, and consequences of violence in Ankara, with specific attention to differences between pharmacists and technicians.</w:t>
      </w:r>
    </w:p>
    <w:p w14:paraId="2E66DE47"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lastRenderedPageBreak/>
        <w:t>Quantitatively, more than half of pharmacists (58.0%) and over three-quarters of technicians (76.5%) reported violence, predominantly verbal abuse (92.1% and 94.2%, respectively), followed by threats, bullying, and less frequently physical assault and sexual harassment. Technicians faced significantly higher risk. Qualitative data help explain this disparity: technicians have highly frontline, patient-facing roles (e.g., payments, logistics), making them the first recipients of patient frustration. Systemic pressures—economic instability, out-of-pocket costs, and strict prescription rules—further fuel tensions. Compared with findings from Southeast Europe, role delineation, legal protections, and societal perceptions of professional authority may differ and influence risk profiles [17].</w:t>
      </w:r>
    </w:p>
    <w:p w14:paraId="513D77E9" w14:textId="77777777" w:rsidR="003D48D6" w:rsidRPr="000C5B3E" w:rsidRDefault="003D48D6" w:rsidP="003D48D6">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Gender-based patterns were also observed: among technicians, female participants reported higher exposure to violence, whereas no significant gender differences were detected among pharmacists. This finding underscores the intersection of professional role and gender in shaping vulnerability to workplace aggression.</w:t>
      </w:r>
    </w:p>
    <w:p w14:paraId="70985E86"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The integrated analysis indicates that violence is a normalized feature of daily practice. While prevalence quantifies scope, narratives elucidate mechanisms—e.g., dissatisfaction with drug costs, prescription restrictions, or waiting times escalating at the counter. Interventions should combine de-escalation training, institutional support, clearer role delineation, and legal protections such as extending White Code to community pharmacies.</w:t>
      </w:r>
    </w:p>
    <w:p w14:paraId="284466FB" w14:textId="713BE56A" w:rsidR="003D48D6" w:rsidRPr="000C5B3E" w:rsidRDefault="003D48D6" w:rsidP="002A6F88">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 xml:space="preserve">Another study investigating the risk of violence among pharmacists and pharmacy technicians working in community pharmacies in Southeast Europe reported that more than 80% of participants had experienced verbal violence, while over 20% reported exposure to physical or sexual violence [17]. That study found no statistically significant differences between pharmacists and technicians, nor across gender, age groups, or countries. In contrast, our findings demonstrated a clear disparity, with pharmacy technicians significantly more likely </w:t>
      </w:r>
      <w:r w:rsidRPr="000C5B3E">
        <w:rPr>
          <w:rFonts w:ascii="Times New Roman" w:eastAsia="Times New Roman" w:hAnsi="Times New Roman" w:cs="Times New Roman"/>
          <w:kern w:val="0"/>
          <w:sz w:val="24"/>
          <w:szCs w:val="24"/>
          <w:lang w:val="en-US" w:eastAsia="tr-TR"/>
          <w14:ligatures w14:val="none"/>
        </w:rPr>
        <w:lastRenderedPageBreak/>
        <w:t xml:space="preserve">than pharmacists to report violence (76.5% versus 58.0%). Despite these differences, both studies converge on key points: verbal abuse is by far the most prevalent form of violence, and patients or clients are the primary perpetrators. Moreover, our qualitative results corroborate this pattern, with participants frequently describing patient frustration over economic hardship, prescription regulations, and waiting times as triggers for aggression. Taken together, these findings highlight that while prevalence rates and role-specific risks may vary across contexts, community pharmacies consistently represent vulnerable settings for healthcare professionals, underscoring the need for targeted interventions at both local and international levels. </w:t>
      </w:r>
    </w:p>
    <w:p w14:paraId="53665B0A" w14:textId="77777777" w:rsidR="0038253E" w:rsidRPr="000C5B3E" w:rsidRDefault="0038253E"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A recent meta-analysis estimated a pooled prevalence of 45% among pharmacists, with 39% reporting violent events within the preceding 12 months; verbal abuse (50%), threats (42%), and physical assaults (27%) were the most common forms [18]. Our findings are consistent with this global evidence in that verbal abuse emerged as the predominant form of violence (reported by 92.1% of pharmacists and 94.2% of pharmacy technicians). However, the overall prevalence in our study was even higher, with 58.0% of pharmacists and 76.5% of pharmacy technicians reporting exposure to violence. These elevated rates—particularly among technicians—suggest that community pharmacies in Turkey may face a greater burden than international averages, underscoring the urgent need for systemic protective measures, such as expanding the “White Code” program to community pharmacies, alongside workplace-level interventions including de-escalation training and staff support mechanisms.</w:t>
      </w:r>
    </w:p>
    <w:p w14:paraId="0591680C" w14:textId="33AA4FF9" w:rsidR="0038253E" w:rsidRPr="000C5B3E" w:rsidRDefault="0038253E"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Violence in community pharmacies has a substantial impact on the mental health of pharmacists, contributing to increased stress, anxiety, burnout, and symptoms of post-traumatic stress disorder (PTSD) [8, 9]. In our study, concerns about workplace violence were particularly high among individuals who had previously experienced such incidents, with a statistically significant correlation between prior exposure to violence and heightened perceptions of safety </w:t>
      </w:r>
      <w:r w:rsidRPr="000C5B3E">
        <w:rPr>
          <w:rFonts w:ascii="Times New Roman" w:eastAsia="Times New Roman" w:hAnsi="Times New Roman" w:cs="Times New Roman"/>
          <w:kern w:val="0"/>
          <w:sz w:val="24"/>
          <w:szCs w:val="24"/>
          <w:lang w:eastAsia="tr-TR"/>
          <w14:ligatures w14:val="none"/>
        </w:rPr>
        <w:lastRenderedPageBreak/>
        <w:t>risk. Accordingly, anxiety scores on the Depression Anxiety Stress Scales (DASS-21) were significantly higher among those exposed to violence, with pharmacy technicians showing greater anxiety levels than pharmacists. Furthermore, participants who had experienced sexual violence (two pharmacists and one technician) exhibited significantly elevated stress scores.</w:t>
      </w:r>
    </w:p>
    <w:p w14:paraId="6CE71480" w14:textId="77777777" w:rsidR="0038253E" w:rsidRPr="000C5B3E" w:rsidRDefault="0038253E" w:rsidP="0038253E">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Pharmacy technicians demonstrated significantly higher anxiety scores compared with pharmacists. Rates of “mild” and “moderate” symptoms on the depression scale were also greater among technicians. This disparity may reflect technicians’ higher exposure to violence, differences in professional status, or variation in coping mechanisms for job-related stress. Interestingly, among pharmacists, those previously exposed to violence showed lower stress and depression scores, suggesting the possible development of resilience or adaptive coping strategies over time. In contrast, no significant association was observed between exposure to violence and mental health scores among pharmacy technicians.</w:t>
      </w:r>
    </w:p>
    <w:p w14:paraId="780A5939" w14:textId="77777777" w:rsidR="0038253E" w:rsidRPr="000C5B3E" w:rsidRDefault="0038253E" w:rsidP="0038253E">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Quantitative DASS-21 results thus suggested a surprising degree of resilience among pharmacists, with most scores falling within the normal range and even lower stress and depression levels among those with prior exposure to violence. However, qualitative findings revealed the complexity behind this apparent resilience. Pharmacists described profound emotional consequences—including fear, anger, and disappointment—that the quantitative scales did not fully capture. Their “resilience” appears to reflect professional adaptation rather than an absence of psychological impact: they continue working with heightened caution despite underlying distress. For some, this burden becomes overwhelming, prompting consideration of leaving the profession—an outcome easily overlooked by quantitative measures alone.</w:t>
      </w:r>
    </w:p>
    <w:p w14:paraId="400DE11C" w14:textId="77777777" w:rsidR="0038253E" w:rsidRPr="000C5B3E" w:rsidRDefault="0038253E" w:rsidP="0038253E">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Qualitative data also add critical depth to the understanding of responses to workplace violence. Survey findings indicated that pharmacists most often responded verbally or pursued legal </w:t>
      </w:r>
      <w:r w:rsidRPr="000C5B3E">
        <w:rPr>
          <w:rFonts w:ascii="Times New Roman" w:eastAsia="Times New Roman" w:hAnsi="Times New Roman" w:cs="Times New Roman"/>
          <w:kern w:val="0"/>
          <w:sz w:val="24"/>
          <w:szCs w:val="24"/>
          <w:lang w:eastAsia="tr-TR"/>
          <w14:ligatures w14:val="none"/>
        </w:rPr>
        <w:lastRenderedPageBreak/>
        <w:t>action but were reluctant to report incidents due to burnout. Interview narratives clarified this reluctance, citing fear of retaliation and deep mistrust in the legal system, perceived as slow and ineffective. This helps explain the discrepancy between experiencing violence and formally reporting it. Additionally, qualitative accounts highlighted proactive protective measures—such as using panic buttons and employing de-escalation techniques—that illustrate how pharmacists manage daily threats in practice.</w:t>
      </w:r>
    </w:p>
    <w:p w14:paraId="58EC9B31" w14:textId="77777777" w:rsidR="0038253E" w:rsidRPr="000C5B3E" w:rsidRDefault="0038253E" w:rsidP="0038253E">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In a cross-sectional study conducted to assess burnout levels and prevalence among community pharmacists in Ankara, the Maslach Burnout Inventory was administered to 251 pharmacists [19]. The mean emotional exhaustion score was 16.84 (SD = 6.25), the mean depersonalization score was 4 (range: 0–14), and the mean personal accomplishment score was 22 (range: 9–32). Age, marital status, work experience, job satisfaction, workload, time pressure, perceived stress, and satisfaction with customers were all found to be associated with pharmacists’ burnout levels [19].</w:t>
      </w:r>
    </w:p>
    <w:p w14:paraId="080A84EA" w14:textId="77777777" w:rsidR="0038253E" w:rsidRPr="000C5B3E" w:rsidRDefault="0038253E" w:rsidP="0038253E">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In Lebanon, the overall prevalence of burnout among pharmacists was reported to be 43.5%, primarily driven by high emotional exhaustion (36.9%) [20]. Factors associated with increased burnout included older age, holding a Bachelor of Science in Pharmacy degree, involvement in student training, lack of involvement in procurement, divided attention at work, overall career dissatisfaction, and dissatisfaction or neutrality regarding work–life balance. Low personal accomplishment was reported by 49.5% of participants [20].</w:t>
      </w:r>
    </w:p>
    <w:p w14:paraId="5BB90B51" w14:textId="48732F7E" w:rsidR="0038253E" w:rsidRPr="000C5B3E" w:rsidRDefault="0038253E"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Our study reveals a substantial psychological burden within community pharmacy practice, consistent with evidence from burnout research, and further highlights the need for systemic interventions to protect the mental well-being of pharmacy staff.</w:t>
      </w:r>
    </w:p>
    <w:p w14:paraId="7AAFE0B9" w14:textId="77777777" w:rsidR="0038253E" w:rsidRPr="000C5B3E" w:rsidRDefault="0038253E" w:rsidP="0038253E">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lastRenderedPageBreak/>
        <w:t>An important factor is the increasing workload of pharmacists. Long hours, understaffing, and limited support were identified as key stressors contributing to workplace conflicts and violence. A UK review found that pharmacists’ workload has increased, with most time still devoted to dispensing, and while heavy workload is linked to well-being, strong evidence of direct patient safety risk remains lacking [21].</w:t>
      </w:r>
    </w:p>
    <w:p w14:paraId="484D0CBF" w14:textId="77777777" w:rsidR="0038253E" w:rsidRPr="000C5B3E" w:rsidRDefault="0038253E" w:rsidP="0038253E">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Violent incidents also drive job changes, with many pharmacists moving to other community pharmacies [5]. In our study, violence reduced motivation, yet many pharmacists remained committed to their profession despite these challenges.</w:t>
      </w:r>
    </w:p>
    <w:p w14:paraId="11C2F0D7" w14:textId="77777777" w:rsidR="00A8296D" w:rsidRPr="000C5B3E" w:rsidRDefault="00A8296D" w:rsidP="00A8296D">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Violence is strongly associated with absenteeism and increased fear among employees [8]. Participants also reported anger and disappointment, undermining professional identity and trust.</w:t>
      </w:r>
    </w:p>
    <w:p w14:paraId="7E9E2F5C" w14:textId="77777777" w:rsidR="00A8296D" w:rsidRPr="000C5B3E" w:rsidRDefault="00A8296D" w:rsidP="00A8296D">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Under-reporting and lack of support were common. In our study, distrust in the judicial system and concern over ineffective outcomes discouraged pharmacists from seeking justice. Over 90% of pharmacy staff in another study received no employer or external help after robbery incidents [17]. Only 0.6% of our participants had workplace violence training [12]. Pharmacists adopted their own safety measures—rotating staff, using safety apps, and installing alarms or controlled access—and recommended stricter legal penalties, better public education, and stronger police presence.</w:t>
      </w:r>
    </w:p>
    <w:p w14:paraId="158BD2A9" w14:textId="77777777" w:rsidR="00A8296D" w:rsidRPr="000C5B3E" w:rsidRDefault="00A8296D" w:rsidP="00A8296D">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Contributing factors included long waiting times, refusal to meet aggressors’ demands, poor communication [10], as well as economic and political tensions, unmet expectations, and challenging working conditions. Financial instability, disputes over co-payments, and controlled substances often triggered conflict. Long hours, understaffing, and lack of security further increased risk.</w:t>
      </w:r>
    </w:p>
    <w:p w14:paraId="301D6926" w14:textId="77777777" w:rsidR="00A8296D" w:rsidRPr="000C5B3E" w:rsidRDefault="00A8296D" w:rsidP="00A8296D">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lastRenderedPageBreak/>
        <w:t>A retention study in Ireland highlighted similar concerns: heavy workload, poor conditions, regulatory burden, and health impacts [22]. Recommendations—better employment terms, recognition of professional roles, career advancement, and regulatory reform—echo our participants’ views.</w:t>
      </w:r>
    </w:p>
    <w:p w14:paraId="456170CE" w14:textId="3C703F13" w:rsidR="00A8296D" w:rsidRPr="000C5B3E" w:rsidRDefault="00A8296D" w:rsidP="00A8296D">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A study in Mansoura City found that working night shifts and being younger (19–40 years) significantly predicted experiences of violence among pharmacists and assistants [9].</w:t>
      </w:r>
    </w:p>
    <w:p w14:paraId="535ED8D3" w14:textId="727B59BB" w:rsidR="00B91B53" w:rsidRPr="000C5B3E" w:rsidRDefault="00B91B53" w:rsidP="00A8296D">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In our study, no significant differences were found by age or timing of violent incidents (day vs. night, weekdays vs. weekends/public holidays). Instead, professional role was the strongest predictor, with pharmacy technicians experiencing substantially more violence than pharmacists. This highlights how contextual and occupational factors shape vulnerability across settings.</w:t>
      </w:r>
    </w:p>
    <w:p w14:paraId="2C763A62" w14:textId="77777777" w:rsidR="00B91B53" w:rsidRPr="000C5B3E" w:rsidRDefault="00B91B53" w:rsidP="00B91B53">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The prevalence of violence influences the services pharmacists are willing to provide, with safety concerns directly affecting professional practice [5, 7]. Participants emphasized the need for stronger security measures and organizational support to reduce this impact.</w:t>
      </w:r>
    </w:p>
    <w:p w14:paraId="4EAA7AFF" w14:textId="77777777" w:rsidR="00B91B53" w:rsidRPr="000C5B3E" w:rsidRDefault="00B91B53" w:rsidP="00B91B53">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They also highlighted the absence of the “White Code” system for community pharmacists. Extending it could ensure formal documentation of incidents, enable a more systematic legal response, and enhance safety while deterring future violence.</w:t>
      </w:r>
    </w:p>
    <w:p w14:paraId="7F7AAA5D" w14:textId="2EAAE037" w:rsidR="0038253E" w:rsidRPr="000C5B3E" w:rsidRDefault="00B91B5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The qualitative recommendations provide a clear path forward, directly addressing the causes and impacts revealed in both datasets. Calls for improved physical security (e.g., cameras, shutters), stronger institutional support, stricter legal consequences, public education, and greater societal recognition respond directly to the systemic failures and safety gaps identified by participants.</w:t>
      </w:r>
    </w:p>
    <w:p w14:paraId="412A93FC" w14:textId="77777777" w:rsidR="000B6D63" w:rsidRPr="000C5B3E" w:rsidRDefault="000B6D63" w:rsidP="002A6F88">
      <w:pPr>
        <w:spacing w:before="100" w:beforeAutospacing="1" w:after="100" w:afterAutospacing="1" w:line="480" w:lineRule="auto"/>
        <w:jc w:val="both"/>
        <w:outlineLvl w:val="2"/>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lastRenderedPageBreak/>
        <w:t>4.1. Strengths and limitations</w:t>
      </w:r>
    </w:p>
    <w:p w14:paraId="0E4018D1" w14:textId="77777777" w:rsidR="00B91B53" w:rsidRPr="000C5B3E" w:rsidRDefault="00B91B53" w:rsidP="00B91B53">
      <w:pPr>
        <w:spacing w:before="100" w:beforeAutospacing="1" w:after="100" w:afterAutospacing="1" w:line="480" w:lineRule="auto"/>
        <w:jc w:val="both"/>
        <w:outlineLvl w:val="1"/>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This study provides critical insights as the first mixed-methods analysis of workplace violence among community pharmacists in Turkey’s capital. It identifies contributing factors, explores the emotional impact—especially verbal abuse against technicians—and underscores the need for mental health support, retention strategies, and clearer violence management.</w:t>
      </w:r>
    </w:p>
    <w:p w14:paraId="4C04BD2D" w14:textId="57B72F65" w:rsidR="00B91B53" w:rsidRPr="000C5B3E" w:rsidRDefault="00B91B53" w:rsidP="00B91B53">
      <w:pPr>
        <w:spacing w:before="100" w:beforeAutospacing="1" w:after="100" w:afterAutospacing="1" w:line="480" w:lineRule="auto"/>
        <w:jc w:val="both"/>
        <w:outlineLvl w:val="1"/>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Limitations include self-reported data, which may be biased by recall or stigma, and a single-city sample, which restricts generalizability. The qualitative component employed snowball sampling, which may introduce selection bias since participants were initially recruited from those known to have experienced workplace violence. Although efforts were made to include diverse genders, ages, and pharmacy types, the findings may not fully represent all community pharmacy staff. Addressing these limitations in future research could deepen understanding and inform more comprehensive, targeted strategies to improve pharmacy safety and staff well-being.</w:t>
      </w:r>
    </w:p>
    <w:p w14:paraId="2AD7ECC3" w14:textId="77777777"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Conclusion</w:t>
      </w:r>
    </w:p>
    <w:p w14:paraId="17EE88BC" w14:textId="77777777" w:rsidR="00B91B53" w:rsidRPr="000C5B3E" w:rsidRDefault="00B91B53" w:rsidP="002A6F88">
      <w:pPr>
        <w:spacing w:before="100" w:beforeAutospacing="1" w:after="100" w:afterAutospacing="1" w:line="480" w:lineRule="auto"/>
        <w:jc w:val="both"/>
        <w:outlineLvl w:val="1"/>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Violence in community pharmacies is widespread, with verbal abuse as the predominant form. Its consequences include psychological distress and workforce instability, compounded by under-reporting and limited institutional support. Contributing factors include long waiting times, unmet expectations, and communication breakdowns. A comprehensive response—integrating staff training, organizational support, enhanced security, and policy action—is essential to protect personnel and sustain the quality of pharmacy services.</w:t>
      </w:r>
    </w:p>
    <w:p w14:paraId="0B57432A" w14:textId="77777777" w:rsidR="00403B5D" w:rsidRPr="000C5B3E" w:rsidRDefault="00403B5D">
      <w:pPr>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br w:type="page"/>
      </w:r>
    </w:p>
    <w:p w14:paraId="3C1A0613" w14:textId="3AD7FED0"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lastRenderedPageBreak/>
        <w:t>Policy and Practice Implications</w:t>
      </w:r>
    </w:p>
    <w:p w14:paraId="23EC58CB" w14:textId="65D513C7" w:rsidR="000B6D63" w:rsidRPr="000C5B3E" w:rsidRDefault="00B91B53" w:rsidP="002A6F88">
      <w:pPr>
        <w:spacing w:after="0"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The findings of this study underscore an urgent need for structural and institutional interventions to address workplace violence in community pharmacies. First, extending hospital-based emergency protocols, such as the “White Code” system, to community pharmacies would create a standardized and rapid response mechanism, ensuring immediate security and legal support during violent incidents. Second, mandatory and recurrent training on de-escalation, conflict management, and communication under stress should be implemented for all pharmacy staff—particularly technicians, who reported the highest exposure. Third, pharmacy owners and professional associations should establish clear institutional protocols for post-incident support, including legal assistance, psychological first aid, and structured reporting systems. Finally, given the emotional toll and emerging mental health concerns—especially among technicians—access to confidential, profession-specific mental health services is essential. Integrating these measures into national pharmacy practice regulations could help ensure safer workplaces and support sustainable professional practice.</w:t>
      </w:r>
    </w:p>
    <w:p w14:paraId="3D1731F9" w14:textId="77777777"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Ethics</w:t>
      </w:r>
    </w:p>
    <w:p w14:paraId="11D38899" w14:textId="58CE7E5B" w:rsidR="000B6D63" w:rsidRPr="000C5B3E" w:rsidRDefault="00B91B53" w:rsidP="002A6F88">
      <w:pPr>
        <w:spacing w:after="0"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Ethical approval was obtained from the Marmara University Faculty of Medicine Clinical Research Ethics Committee (approval number 09.2024.286, dated 09 February 2024). The study was conducted in accordance with the principles of the Declaration of Helsinki. Informed consent was obtained from all participants before their inclusion. For the quantitative phase, consent was provided electronically via a mandatory checkbox on the digital survey. For the qualitative interviews, verbal consent was obtained and recorded at the beginning of each session, a procedure explicitly approved by the ethics committee. To ensure anonymity, all personally identifiable information was removed during transcription, and participants were </w:t>
      </w:r>
      <w:r w:rsidRPr="000C5B3E">
        <w:rPr>
          <w:rFonts w:ascii="Times New Roman" w:eastAsia="Times New Roman" w:hAnsi="Times New Roman" w:cs="Times New Roman"/>
          <w:kern w:val="0"/>
          <w:sz w:val="24"/>
          <w:szCs w:val="24"/>
          <w:lang w:eastAsia="tr-TR"/>
          <w14:ligatures w14:val="none"/>
        </w:rPr>
        <w:lastRenderedPageBreak/>
        <w:t>assigned non-identifiable codes (e.g., P1, P2). Audio recordings and transcripts were stored on a secure, password-protected system.</w:t>
      </w:r>
    </w:p>
    <w:p w14:paraId="7B2C1019" w14:textId="77777777"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References</w:t>
      </w:r>
    </w:p>
    <w:p w14:paraId="647289F6" w14:textId="7F681287"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Liu J, Gan Y, Jiang H, Li L, Dwyer R</w:t>
      </w:r>
      <w:r w:rsidR="00D91901" w:rsidRPr="000C5B3E">
        <w:rPr>
          <w:rFonts w:ascii="Times New Roman" w:eastAsia="Times New Roman" w:hAnsi="Times New Roman" w:cs="Times New Roman"/>
          <w:kern w:val="0"/>
          <w:sz w:val="24"/>
          <w:szCs w:val="24"/>
          <w:lang w:eastAsia="tr-TR"/>
          <w14:ligatures w14:val="none"/>
        </w:rPr>
        <w:t xml:space="preserve"> et al.</w:t>
      </w:r>
      <w:r w:rsidRPr="000C5B3E">
        <w:rPr>
          <w:rFonts w:ascii="Times New Roman" w:eastAsia="Times New Roman" w:hAnsi="Times New Roman" w:cs="Times New Roman"/>
          <w:kern w:val="0"/>
          <w:sz w:val="24"/>
          <w:szCs w:val="24"/>
          <w:lang w:eastAsia="tr-TR"/>
          <w14:ligatures w14:val="none"/>
        </w:rPr>
        <w:t xml:space="preserve"> Prevalence of workplace violence against healthcare workers: a systematic review and meta-analysis. Occup</w:t>
      </w:r>
      <w:r w:rsidR="00AF20DC" w:rsidRPr="000C5B3E">
        <w:rPr>
          <w:rFonts w:ascii="Times New Roman" w:eastAsia="Times New Roman" w:hAnsi="Times New Roman" w:cs="Times New Roman"/>
          <w:kern w:val="0"/>
          <w:sz w:val="24"/>
          <w:szCs w:val="24"/>
          <w:lang w:eastAsia="tr-TR"/>
          <w14:ligatures w14:val="none"/>
        </w:rPr>
        <w:t>ational</w:t>
      </w:r>
      <w:r w:rsidRPr="000C5B3E">
        <w:rPr>
          <w:rFonts w:ascii="Times New Roman" w:eastAsia="Times New Roman" w:hAnsi="Times New Roman" w:cs="Times New Roman"/>
          <w:kern w:val="0"/>
          <w:sz w:val="24"/>
          <w:szCs w:val="24"/>
          <w:lang w:eastAsia="tr-TR"/>
          <w14:ligatures w14:val="none"/>
        </w:rPr>
        <w:t xml:space="preserve"> Environ</w:t>
      </w:r>
      <w:r w:rsidR="00AF20DC" w:rsidRPr="000C5B3E">
        <w:rPr>
          <w:rFonts w:ascii="Times New Roman" w:eastAsia="Times New Roman" w:hAnsi="Times New Roman" w:cs="Times New Roman"/>
          <w:kern w:val="0"/>
          <w:sz w:val="24"/>
          <w:szCs w:val="24"/>
          <w:lang w:eastAsia="tr-TR"/>
          <w14:ligatures w14:val="none"/>
        </w:rPr>
        <w:t xml:space="preserve">mental </w:t>
      </w:r>
      <w:r w:rsidRPr="000C5B3E">
        <w:rPr>
          <w:rFonts w:ascii="Times New Roman" w:eastAsia="Times New Roman" w:hAnsi="Times New Roman" w:cs="Times New Roman"/>
          <w:kern w:val="0"/>
          <w:sz w:val="24"/>
          <w:szCs w:val="24"/>
          <w:lang w:eastAsia="tr-TR"/>
          <w14:ligatures w14:val="none"/>
        </w:rPr>
        <w:t>Med</w:t>
      </w:r>
      <w:r w:rsidR="00AF20DC" w:rsidRPr="000C5B3E">
        <w:rPr>
          <w:rFonts w:ascii="Times New Roman" w:eastAsia="Times New Roman" w:hAnsi="Times New Roman" w:cs="Times New Roman"/>
          <w:kern w:val="0"/>
          <w:sz w:val="24"/>
          <w:szCs w:val="24"/>
          <w:lang w:eastAsia="tr-TR"/>
          <w14:ligatures w14:val="none"/>
        </w:rPr>
        <w:t>icine</w:t>
      </w:r>
      <w:r w:rsidRPr="000C5B3E">
        <w:rPr>
          <w:rFonts w:ascii="Times New Roman" w:eastAsia="Times New Roman" w:hAnsi="Times New Roman" w:cs="Times New Roman"/>
          <w:kern w:val="0"/>
          <w:sz w:val="24"/>
          <w:szCs w:val="24"/>
          <w:lang w:eastAsia="tr-TR"/>
          <w14:ligatures w14:val="none"/>
        </w:rPr>
        <w:t xml:space="preserve"> 2019;76(12):927–937. </w:t>
      </w:r>
      <w:hyperlink r:id="rId8" w:history="1">
        <w:r w:rsidRPr="000C5B3E">
          <w:rPr>
            <w:rFonts w:ascii="Times New Roman" w:eastAsia="Times New Roman" w:hAnsi="Times New Roman" w:cs="Times New Roman"/>
            <w:color w:val="0000FF"/>
            <w:kern w:val="0"/>
            <w:sz w:val="24"/>
            <w:szCs w:val="24"/>
            <w:u w:val="single"/>
            <w:lang w:eastAsia="tr-TR"/>
            <w14:ligatures w14:val="none"/>
          </w:rPr>
          <w:t>https://doi.org/10.1136/oemed-2019-105849</w:t>
        </w:r>
      </w:hyperlink>
    </w:p>
    <w:p w14:paraId="19239E60" w14:textId="2D8F5A3A"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Pinar T, Acikel C, Pinar G, Karabulut E, Saygun M</w:t>
      </w:r>
      <w:r w:rsidR="00D91901" w:rsidRPr="000C5B3E">
        <w:rPr>
          <w:rFonts w:ascii="Times New Roman" w:eastAsia="Times New Roman" w:hAnsi="Times New Roman" w:cs="Times New Roman"/>
          <w:kern w:val="0"/>
          <w:sz w:val="24"/>
          <w:szCs w:val="24"/>
          <w:lang w:eastAsia="tr-TR"/>
          <w14:ligatures w14:val="none"/>
        </w:rPr>
        <w:t xml:space="preserve"> et al.</w:t>
      </w:r>
      <w:r w:rsidRPr="000C5B3E">
        <w:rPr>
          <w:rFonts w:ascii="Times New Roman" w:eastAsia="Times New Roman" w:hAnsi="Times New Roman" w:cs="Times New Roman"/>
          <w:kern w:val="0"/>
          <w:sz w:val="24"/>
          <w:szCs w:val="24"/>
          <w:lang w:eastAsia="tr-TR"/>
          <w14:ligatures w14:val="none"/>
        </w:rPr>
        <w:t xml:space="preserve"> Workplace violence in the health sector in Turkey: a national study. </w:t>
      </w:r>
      <w:r w:rsidR="00AF20DC" w:rsidRPr="000C5B3E">
        <w:rPr>
          <w:rFonts w:ascii="Times New Roman" w:eastAsia="Times New Roman" w:hAnsi="Times New Roman" w:cs="Times New Roman"/>
          <w:kern w:val="0"/>
          <w:sz w:val="24"/>
          <w:szCs w:val="24"/>
          <w:lang w:eastAsia="tr-TR"/>
          <w14:ligatures w14:val="none"/>
        </w:rPr>
        <w:t>Journal of Interpersonal Violence</w:t>
      </w:r>
      <w:r w:rsidRPr="000C5B3E">
        <w:rPr>
          <w:rFonts w:ascii="Times New Roman" w:eastAsia="Times New Roman" w:hAnsi="Times New Roman" w:cs="Times New Roman"/>
          <w:kern w:val="0"/>
          <w:sz w:val="24"/>
          <w:szCs w:val="24"/>
          <w:lang w:eastAsia="tr-TR"/>
          <w14:ligatures w14:val="none"/>
        </w:rPr>
        <w:t xml:space="preserve">. 2017;32(15):2345–2365. </w:t>
      </w:r>
      <w:hyperlink r:id="rId9" w:history="1">
        <w:r w:rsidRPr="000C5B3E">
          <w:rPr>
            <w:rFonts w:ascii="Times New Roman" w:eastAsia="Times New Roman" w:hAnsi="Times New Roman" w:cs="Times New Roman"/>
            <w:color w:val="0000FF"/>
            <w:kern w:val="0"/>
            <w:sz w:val="24"/>
            <w:szCs w:val="24"/>
            <w:u w:val="single"/>
            <w:lang w:eastAsia="tr-TR"/>
            <w14:ligatures w14:val="none"/>
          </w:rPr>
          <w:t>https://doi.org/10.1177/0886260515591976</w:t>
        </w:r>
      </w:hyperlink>
    </w:p>
    <w:p w14:paraId="067F93F5" w14:textId="284457CD"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Er T, Ayoglu F, Açıkgöz B. Sağlık çalışanına yönelik şiddet: risk faktörleri, etkileri, değerlendirilmesi ve önlenmesi. </w:t>
      </w:r>
      <w:r w:rsidR="00AF20DC" w:rsidRPr="000C5B3E">
        <w:rPr>
          <w:rFonts w:ascii="Times New Roman" w:eastAsia="Times New Roman" w:hAnsi="Times New Roman" w:cs="Times New Roman"/>
          <w:kern w:val="0"/>
          <w:sz w:val="24"/>
          <w:szCs w:val="24"/>
          <w:lang w:eastAsia="tr-TR"/>
          <w14:ligatures w14:val="none"/>
        </w:rPr>
        <w:t>Turkish Journal of Public Health</w:t>
      </w:r>
      <w:r w:rsidR="00AF20DC" w:rsidRPr="000C5B3E">
        <w:rPr>
          <w:rFonts w:ascii="Times New Roman" w:eastAsia="Times New Roman" w:hAnsi="Times New Roman" w:cs="Times New Roman"/>
          <w:i/>
          <w:iCs/>
          <w:kern w:val="0"/>
          <w:sz w:val="24"/>
          <w:szCs w:val="24"/>
          <w:lang w:eastAsia="tr-TR"/>
          <w14:ligatures w14:val="none"/>
        </w:rPr>
        <w:t xml:space="preserve">. </w:t>
      </w:r>
      <w:r w:rsidRPr="000C5B3E">
        <w:rPr>
          <w:rFonts w:ascii="Times New Roman" w:eastAsia="Times New Roman" w:hAnsi="Times New Roman" w:cs="Times New Roman"/>
          <w:kern w:val="0"/>
          <w:sz w:val="24"/>
          <w:szCs w:val="24"/>
          <w:lang w:eastAsia="tr-TR"/>
          <w14:ligatures w14:val="none"/>
        </w:rPr>
        <w:t xml:space="preserve">2021;19(1):69–78. </w:t>
      </w:r>
      <w:hyperlink r:id="rId10" w:history="1">
        <w:r w:rsidRPr="000C5B3E">
          <w:rPr>
            <w:rFonts w:ascii="Times New Roman" w:eastAsia="Times New Roman" w:hAnsi="Times New Roman" w:cs="Times New Roman"/>
            <w:color w:val="0000FF"/>
            <w:kern w:val="0"/>
            <w:sz w:val="24"/>
            <w:szCs w:val="24"/>
            <w:u w:val="single"/>
            <w:lang w:eastAsia="tr-TR"/>
            <w14:ligatures w14:val="none"/>
          </w:rPr>
          <w:t>https://doi.org/10.20518/tjph.680771</w:t>
        </w:r>
      </w:hyperlink>
      <w:r w:rsidR="00917202" w:rsidRPr="000C5B3E">
        <w:t xml:space="preserve"> </w:t>
      </w:r>
      <w:r w:rsidR="00917202" w:rsidRPr="000C5B3E">
        <w:rPr>
          <w:rFonts w:ascii="Times New Roman" w:eastAsia="Times New Roman" w:hAnsi="Times New Roman" w:cs="Times New Roman"/>
          <w:kern w:val="0"/>
          <w:sz w:val="24"/>
          <w:szCs w:val="24"/>
          <w:lang w:eastAsia="tr-TR"/>
          <w14:ligatures w14:val="none"/>
        </w:rPr>
        <w:t>(</w:t>
      </w:r>
      <w:r w:rsidR="005E7342" w:rsidRPr="000C5B3E">
        <w:rPr>
          <w:rFonts w:ascii="Times New Roman" w:eastAsia="Times New Roman" w:hAnsi="Times New Roman" w:cs="Times New Roman"/>
          <w:kern w:val="0"/>
          <w:sz w:val="24"/>
          <w:szCs w:val="24"/>
          <w:lang w:eastAsia="tr-TR"/>
          <w14:ligatures w14:val="none"/>
        </w:rPr>
        <w:t>In Turkish)</w:t>
      </w:r>
    </w:p>
    <w:p w14:paraId="675BD1A1" w14:textId="3553FDCE"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Alhomoud F. “That’s </w:t>
      </w:r>
      <w:r w:rsidR="00AF20DC" w:rsidRPr="000C5B3E">
        <w:rPr>
          <w:rFonts w:ascii="Times New Roman" w:eastAsia="Times New Roman" w:hAnsi="Times New Roman" w:cs="Times New Roman"/>
          <w:kern w:val="0"/>
          <w:sz w:val="24"/>
          <w:szCs w:val="24"/>
          <w:lang w:eastAsia="tr-TR"/>
          <w14:ligatures w14:val="none"/>
        </w:rPr>
        <w:t>Enough” —</w:t>
      </w:r>
      <w:r w:rsidRPr="000C5B3E">
        <w:rPr>
          <w:rFonts w:ascii="Times New Roman" w:eastAsia="Times New Roman" w:hAnsi="Times New Roman" w:cs="Times New Roman"/>
          <w:kern w:val="0"/>
          <w:sz w:val="24"/>
          <w:szCs w:val="24"/>
          <w:lang w:eastAsia="tr-TR"/>
          <w14:ligatures w14:val="none"/>
        </w:rPr>
        <w:t xml:space="preserve">workplace violence against physicians, pharmacists, and nurses in Saudi Arabia: a systematic review of prevalence, causes, and consequences. </w:t>
      </w:r>
      <w:r w:rsidR="00AF20DC" w:rsidRPr="000C5B3E">
        <w:rPr>
          <w:rFonts w:ascii="Times New Roman" w:eastAsia="Times New Roman" w:hAnsi="Times New Roman" w:cs="Times New Roman"/>
          <w:kern w:val="0"/>
          <w:sz w:val="24"/>
          <w:szCs w:val="24"/>
          <w:lang w:eastAsia="tr-TR"/>
          <w14:ligatures w14:val="none"/>
        </w:rPr>
        <w:t>Risk Management and Healthcare Policy</w:t>
      </w:r>
      <w:r w:rsidRPr="000C5B3E">
        <w:rPr>
          <w:rFonts w:ascii="Times New Roman" w:eastAsia="Times New Roman" w:hAnsi="Times New Roman" w:cs="Times New Roman"/>
          <w:kern w:val="0"/>
          <w:sz w:val="24"/>
          <w:szCs w:val="24"/>
          <w:lang w:eastAsia="tr-TR"/>
          <w14:ligatures w14:val="none"/>
        </w:rPr>
        <w:t xml:space="preserve">. 2025:373–408. </w:t>
      </w:r>
      <w:hyperlink r:id="rId11" w:history="1">
        <w:r w:rsidRPr="000C5B3E">
          <w:rPr>
            <w:rFonts w:ascii="Times New Roman" w:eastAsia="Times New Roman" w:hAnsi="Times New Roman" w:cs="Times New Roman"/>
            <w:color w:val="0000FF"/>
            <w:kern w:val="0"/>
            <w:sz w:val="24"/>
            <w:szCs w:val="24"/>
            <w:u w:val="single"/>
            <w:lang w:eastAsia="tr-TR"/>
            <w14:ligatures w14:val="none"/>
          </w:rPr>
          <w:t>https://doi.org/10.2147/RMHP.S509895</w:t>
        </w:r>
      </w:hyperlink>
    </w:p>
    <w:p w14:paraId="4885ED19" w14:textId="59AC3303"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Peterson GM, Tan SI, Jackson SL, Naunton M. Violence in community pharmacy in Australia: incidence and implications</w:t>
      </w:r>
      <w:r w:rsidR="00AF20DC" w:rsidRPr="000C5B3E">
        <w:rPr>
          <w:rFonts w:ascii="Times New Roman" w:eastAsia="Times New Roman" w:hAnsi="Times New Roman" w:cs="Times New Roman"/>
          <w:kern w:val="0"/>
          <w:sz w:val="24"/>
          <w:szCs w:val="24"/>
          <w:lang w:eastAsia="tr-TR"/>
          <w14:ligatures w14:val="none"/>
        </w:rPr>
        <w:t>. International Journal of Clinical Pharmacy</w:t>
      </w:r>
      <w:r w:rsidRPr="000C5B3E">
        <w:rPr>
          <w:rFonts w:ascii="Times New Roman" w:eastAsia="Times New Roman" w:hAnsi="Times New Roman" w:cs="Times New Roman"/>
          <w:kern w:val="0"/>
          <w:sz w:val="24"/>
          <w:szCs w:val="24"/>
          <w:lang w:eastAsia="tr-TR"/>
          <w14:ligatures w14:val="none"/>
        </w:rPr>
        <w:t xml:space="preserve">. </w:t>
      </w:r>
      <w:r w:rsidR="00AF20DC" w:rsidRPr="000C5B3E">
        <w:rPr>
          <w:rFonts w:ascii="Times New Roman" w:eastAsia="Times New Roman" w:hAnsi="Times New Roman" w:cs="Times New Roman"/>
          <w:kern w:val="0"/>
          <w:sz w:val="24"/>
          <w:szCs w:val="24"/>
          <w:lang w:eastAsia="tr-TR"/>
          <w14:ligatures w14:val="none"/>
        </w:rPr>
        <w:t>2011; 33:264</w:t>
      </w:r>
      <w:r w:rsidRPr="000C5B3E">
        <w:rPr>
          <w:rFonts w:ascii="Times New Roman" w:eastAsia="Times New Roman" w:hAnsi="Times New Roman" w:cs="Times New Roman"/>
          <w:kern w:val="0"/>
          <w:sz w:val="24"/>
          <w:szCs w:val="24"/>
          <w:lang w:eastAsia="tr-TR"/>
          <w14:ligatures w14:val="none"/>
        </w:rPr>
        <w:t xml:space="preserve">–272. </w:t>
      </w:r>
      <w:hyperlink r:id="rId12" w:history="1">
        <w:r w:rsidRPr="000C5B3E">
          <w:rPr>
            <w:rFonts w:ascii="Times New Roman" w:eastAsia="Times New Roman" w:hAnsi="Times New Roman" w:cs="Times New Roman"/>
            <w:color w:val="0000FF"/>
            <w:kern w:val="0"/>
            <w:sz w:val="24"/>
            <w:szCs w:val="24"/>
            <w:u w:val="single"/>
            <w:lang w:eastAsia="tr-TR"/>
            <w14:ligatures w14:val="none"/>
          </w:rPr>
          <w:t>https://doi.org/10.1007/s11096-011-9492-3</w:t>
        </w:r>
      </w:hyperlink>
    </w:p>
    <w:p w14:paraId="54E5A93A" w14:textId="21489543"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Smith F, Weidner D. Threatening and violent incidents in community pharmacies: (1) an investigation of the frequency of serious and minor incidents. </w:t>
      </w:r>
      <w:r w:rsidR="00AF20DC" w:rsidRPr="000C5B3E">
        <w:rPr>
          <w:rFonts w:ascii="Times New Roman" w:eastAsia="Times New Roman" w:hAnsi="Times New Roman" w:cs="Times New Roman"/>
          <w:kern w:val="0"/>
          <w:sz w:val="24"/>
          <w:szCs w:val="24"/>
          <w:lang w:eastAsia="tr-TR"/>
          <w14:ligatures w14:val="none"/>
        </w:rPr>
        <w:t xml:space="preserve">International Journal of Pharmacy Practice. </w:t>
      </w:r>
      <w:r w:rsidRPr="000C5B3E">
        <w:rPr>
          <w:rFonts w:ascii="Times New Roman" w:eastAsia="Times New Roman" w:hAnsi="Times New Roman" w:cs="Times New Roman"/>
          <w:kern w:val="0"/>
          <w:sz w:val="24"/>
          <w:szCs w:val="24"/>
          <w:lang w:eastAsia="tr-TR"/>
          <w14:ligatures w14:val="none"/>
        </w:rPr>
        <w:t xml:space="preserve">1996;4(3):136–144. </w:t>
      </w:r>
      <w:hyperlink r:id="rId13" w:history="1">
        <w:r w:rsidRPr="000C5B3E">
          <w:rPr>
            <w:rFonts w:ascii="Times New Roman" w:eastAsia="Times New Roman" w:hAnsi="Times New Roman" w:cs="Times New Roman"/>
            <w:color w:val="0000FF"/>
            <w:kern w:val="0"/>
            <w:sz w:val="24"/>
            <w:szCs w:val="24"/>
            <w:u w:val="single"/>
            <w:lang w:eastAsia="tr-TR"/>
            <w14:ligatures w14:val="none"/>
          </w:rPr>
          <w:t>https://doi.org/10.1111/j.2042-7174.1996.tb00856.x</w:t>
        </w:r>
      </w:hyperlink>
    </w:p>
    <w:p w14:paraId="099A0B69" w14:textId="22CFD8C1"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lastRenderedPageBreak/>
        <w:t xml:space="preserve">Smith F, Weidner D. Threatening and violent incidents in community pharmacies: (2) implications for pharmacists and community pharmacy services. </w:t>
      </w:r>
      <w:r w:rsidR="00AF20DC" w:rsidRPr="000C5B3E">
        <w:rPr>
          <w:rFonts w:ascii="Times New Roman" w:eastAsia="Times New Roman" w:hAnsi="Times New Roman" w:cs="Times New Roman"/>
          <w:kern w:val="0"/>
          <w:sz w:val="24"/>
          <w:szCs w:val="24"/>
          <w:lang w:eastAsia="tr-TR"/>
          <w14:ligatures w14:val="none"/>
        </w:rPr>
        <w:t xml:space="preserve">International Journal of Pharmacy Practice. </w:t>
      </w:r>
      <w:r w:rsidRPr="000C5B3E">
        <w:rPr>
          <w:rFonts w:ascii="Times New Roman" w:eastAsia="Times New Roman" w:hAnsi="Times New Roman" w:cs="Times New Roman"/>
          <w:kern w:val="0"/>
          <w:sz w:val="24"/>
          <w:szCs w:val="24"/>
          <w:lang w:eastAsia="tr-TR"/>
          <w14:ligatures w14:val="none"/>
        </w:rPr>
        <w:t xml:space="preserve">1996;4(3):145–152. </w:t>
      </w:r>
      <w:hyperlink r:id="rId14" w:history="1">
        <w:r w:rsidRPr="000C5B3E">
          <w:rPr>
            <w:rFonts w:ascii="Times New Roman" w:eastAsia="Times New Roman" w:hAnsi="Times New Roman" w:cs="Times New Roman"/>
            <w:color w:val="0000FF"/>
            <w:kern w:val="0"/>
            <w:sz w:val="24"/>
            <w:szCs w:val="24"/>
            <w:u w:val="single"/>
            <w:lang w:eastAsia="tr-TR"/>
            <w14:ligatures w14:val="none"/>
          </w:rPr>
          <w:t>https://doi.org/10.1111/j.2042-7174.1996.tb00857.x</w:t>
        </w:r>
      </w:hyperlink>
    </w:p>
    <w:p w14:paraId="75B47FDA" w14:textId="358B5D96"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FitzGerald D, Reid A. Frequency and consequences of violence in community pharmacies in Ireland. Occup</w:t>
      </w:r>
      <w:r w:rsidR="00AF20DC" w:rsidRPr="000C5B3E">
        <w:rPr>
          <w:rFonts w:ascii="Times New Roman" w:eastAsia="Times New Roman" w:hAnsi="Times New Roman" w:cs="Times New Roman"/>
          <w:kern w:val="0"/>
          <w:sz w:val="24"/>
          <w:szCs w:val="24"/>
          <w:lang w:eastAsia="tr-TR"/>
          <w14:ligatures w14:val="none"/>
        </w:rPr>
        <w:t>ational</w:t>
      </w:r>
      <w:r w:rsidRPr="000C5B3E">
        <w:rPr>
          <w:rFonts w:ascii="Times New Roman" w:eastAsia="Times New Roman" w:hAnsi="Times New Roman" w:cs="Times New Roman"/>
          <w:kern w:val="0"/>
          <w:sz w:val="24"/>
          <w:szCs w:val="24"/>
          <w:lang w:eastAsia="tr-TR"/>
          <w14:ligatures w14:val="none"/>
        </w:rPr>
        <w:t xml:space="preserve"> Me</w:t>
      </w:r>
      <w:r w:rsidR="00AF20DC" w:rsidRPr="000C5B3E">
        <w:rPr>
          <w:rFonts w:ascii="Times New Roman" w:eastAsia="Times New Roman" w:hAnsi="Times New Roman" w:cs="Times New Roman"/>
          <w:kern w:val="0"/>
          <w:sz w:val="24"/>
          <w:szCs w:val="24"/>
          <w:lang w:eastAsia="tr-TR"/>
          <w14:ligatures w14:val="none"/>
        </w:rPr>
        <w:t>dicine</w:t>
      </w:r>
      <w:r w:rsidRPr="000C5B3E">
        <w:rPr>
          <w:rFonts w:ascii="Times New Roman" w:eastAsia="Times New Roman" w:hAnsi="Times New Roman" w:cs="Times New Roman"/>
          <w:kern w:val="0"/>
          <w:sz w:val="24"/>
          <w:szCs w:val="24"/>
          <w:lang w:eastAsia="tr-TR"/>
          <w14:ligatures w14:val="none"/>
        </w:rPr>
        <w:t xml:space="preserve">. 2012;62(8):632–637. </w:t>
      </w:r>
      <w:hyperlink r:id="rId15" w:history="1">
        <w:r w:rsidRPr="000C5B3E">
          <w:rPr>
            <w:rFonts w:ascii="Times New Roman" w:eastAsia="Times New Roman" w:hAnsi="Times New Roman" w:cs="Times New Roman"/>
            <w:color w:val="0000FF"/>
            <w:kern w:val="0"/>
            <w:sz w:val="24"/>
            <w:szCs w:val="24"/>
            <w:u w:val="single"/>
            <w:lang w:eastAsia="tr-TR"/>
            <w14:ligatures w14:val="none"/>
          </w:rPr>
          <w:t>https://doi.org/10.1093/occmed/kqs154</w:t>
        </w:r>
      </w:hyperlink>
    </w:p>
    <w:p w14:paraId="2899BDB1" w14:textId="11C1E28C"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ElHadidy S, El-Gilany A. Violence among pharmacists and their assistants in community pharmacies. Egypt</w:t>
      </w:r>
      <w:r w:rsidR="00272E75" w:rsidRPr="000C5B3E">
        <w:rPr>
          <w:rFonts w:ascii="Times New Roman" w:eastAsia="Times New Roman" w:hAnsi="Times New Roman" w:cs="Times New Roman"/>
          <w:kern w:val="0"/>
          <w:sz w:val="24"/>
          <w:szCs w:val="24"/>
          <w:lang w:eastAsia="tr-TR"/>
          <w14:ligatures w14:val="none"/>
        </w:rPr>
        <w:t xml:space="preserve">ian </w:t>
      </w:r>
      <w:r w:rsidRPr="000C5B3E">
        <w:rPr>
          <w:rFonts w:ascii="Times New Roman" w:eastAsia="Times New Roman" w:hAnsi="Times New Roman" w:cs="Times New Roman"/>
          <w:kern w:val="0"/>
          <w:sz w:val="24"/>
          <w:szCs w:val="24"/>
          <w:lang w:eastAsia="tr-TR"/>
          <w14:ligatures w14:val="none"/>
        </w:rPr>
        <w:t xml:space="preserve"> J</w:t>
      </w:r>
      <w:r w:rsidR="00AF20DC" w:rsidRPr="000C5B3E">
        <w:rPr>
          <w:rFonts w:ascii="Times New Roman" w:eastAsia="Times New Roman" w:hAnsi="Times New Roman" w:cs="Times New Roman"/>
          <w:kern w:val="0"/>
          <w:sz w:val="24"/>
          <w:szCs w:val="24"/>
          <w:lang w:eastAsia="tr-TR"/>
          <w14:ligatures w14:val="none"/>
        </w:rPr>
        <w:t>ournal of</w:t>
      </w:r>
      <w:r w:rsidRPr="000C5B3E">
        <w:rPr>
          <w:rFonts w:ascii="Times New Roman" w:eastAsia="Times New Roman" w:hAnsi="Times New Roman" w:cs="Times New Roman"/>
          <w:kern w:val="0"/>
          <w:sz w:val="24"/>
          <w:szCs w:val="24"/>
          <w:lang w:eastAsia="tr-TR"/>
          <w14:ligatures w14:val="none"/>
        </w:rPr>
        <w:t xml:space="preserve"> Occup</w:t>
      </w:r>
      <w:r w:rsidR="00AF20DC" w:rsidRPr="000C5B3E">
        <w:rPr>
          <w:rFonts w:ascii="Times New Roman" w:eastAsia="Times New Roman" w:hAnsi="Times New Roman" w:cs="Times New Roman"/>
          <w:kern w:val="0"/>
          <w:sz w:val="24"/>
          <w:szCs w:val="24"/>
          <w:lang w:eastAsia="tr-TR"/>
          <w14:ligatures w14:val="none"/>
        </w:rPr>
        <w:t>ational</w:t>
      </w:r>
      <w:r w:rsidRPr="000C5B3E">
        <w:rPr>
          <w:rFonts w:ascii="Times New Roman" w:eastAsia="Times New Roman" w:hAnsi="Times New Roman" w:cs="Times New Roman"/>
          <w:kern w:val="0"/>
          <w:sz w:val="24"/>
          <w:szCs w:val="24"/>
          <w:lang w:eastAsia="tr-TR"/>
          <w14:ligatures w14:val="none"/>
        </w:rPr>
        <w:t xml:space="preserve"> Med</w:t>
      </w:r>
      <w:r w:rsidR="00AF20DC" w:rsidRPr="000C5B3E">
        <w:rPr>
          <w:rFonts w:ascii="Times New Roman" w:eastAsia="Times New Roman" w:hAnsi="Times New Roman" w:cs="Times New Roman"/>
          <w:kern w:val="0"/>
          <w:sz w:val="24"/>
          <w:szCs w:val="24"/>
          <w:lang w:eastAsia="tr-TR"/>
          <w14:ligatures w14:val="none"/>
        </w:rPr>
        <w:t>icine</w:t>
      </w:r>
      <w:r w:rsidR="00272E75" w:rsidRPr="000C5B3E">
        <w:rPr>
          <w:rFonts w:ascii="Times New Roman" w:eastAsia="Times New Roman" w:hAnsi="Times New Roman" w:cs="Times New Roman"/>
          <w:kern w:val="0"/>
          <w:sz w:val="24"/>
          <w:szCs w:val="24"/>
          <w:lang w:eastAsia="tr-TR"/>
          <w14:ligatures w14:val="none"/>
        </w:rPr>
        <w:t xml:space="preserve">. </w:t>
      </w:r>
      <w:r w:rsidRPr="000C5B3E">
        <w:rPr>
          <w:rFonts w:ascii="Times New Roman" w:eastAsia="Times New Roman" w:hAnsi="Times New Roman" w:cs="Times New Roman"/>
          <w:kern w:val="0"/>
          <w:sz w:val="24"/>
          <w:szCs w:val="24"/>
          <w:lang w:eastAsia="tr-TR"/>
          <w14:ligatures w14:val="none"/>
        </w:rPr>
        <w:t xml:space="preserve">2020;43(3):727–744. </w:t>
      </w:r>
      <w:hyperlink r:id="rId16" w:history="1">
        <w:r w:rsidRPr="000C5B3E">
          <w:rPr>
            <w:rFonts w:ascii="Times New Roman" w:eastAsia="Times New Roman" w:hAnsi="Times New Roman" w:cs="Times New Roman"/>
            <w:color w:val="0000FF"/>
            <w:kern w:val="0"/>
            <w:sz w:val="24"/>
            <w:szCs w:val="24"/>
            <w:u w:val="single"/>
            <w:lang w:eastAsia="tr-TR"/>
            <w14:ligatures w14:val="none"/>
          </w:rPr>
          <w:t>https://doi.org/10.21608/ejom.2020.118352</w:t>
        </w:r>
      </w:hyperlink>
    </w:p>
    <w:p w14:paraId="2D0EED91" w14:textId="4B394687"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Khalid GM, Idris UI, Jatau AI, Wada YH, Adamu YU. Assessment of occupational violence towards pharmacists at practice settings in Nigeria. Pharmacy Practice. 2020;18(4). </w:t>
      </w:r>
      <w:hyperlink r:id="rId17" w:history="1">
        <w:r w:rsidRPr="000C5B3E">
          <w:rPr>
            <w:rFonts w:ascii="Times New Roman" w:eastAsia="Times New Roman" w:hAnsi="Times New Roman" w:cs="Times New Roman"/>
            <w:color w:val="0000FF"/>
            <w:kern w:val="0"/>
            <w:sz w:val="24"/>
            <w:szCs w:val="24"/>
            <w:u w:val="single"/>
            <w:lang w:eastAsia="tr-TR"/>
            <w14:ligatures w14:val="none"/>
          </w:rPr>
          <w:t>https://dx.doi.org/10.18549/pharmpract.2020.4.2080</w:t>
        </w:r>
      </w:hyperlink>
    </w:p>
    <w:p w14:paraId="30BCAB58" w14:textId="661CA134"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Cerulli C, Cerulli J, Santos EJ, Lu N, He H</w:t>
      </w:r>
      <w:r w:rsidR="00D91901" w:rsidRPr="000C5B3E">
        <w:rPr>
          <w:rFonts w:ascii="Times New Roman" w:eastAsia="Times New Roman" w:hAnsi="Times New Roman" w:cs="Times New Roman"/>
          <w:kern w:val="0"/>
          <w:sz w:val="24"/>
          <w:szCs w:val="24"/>
          <w:lang w:eastAsia="tr-TR"/>
          <w14:ligatures w14:val="none"/>
        </w:rPr>
        <w:t xml:space="preserve"> et al.</w:t>
      </w:r>
      <w:r w:rsidRPr="000C5B3E">
        <w:rPr>
          <w:rFonts w:ascii="Times New Roman" w:eastAsia="Times New Roman" w:hAnsi="Times New Roman" w:cs="Times New Roman"/>
          <w:kern w:val="0"/>
          <w:sz w:val="24"/>
          <w:szCs w:val="24"/>
          <w:lang w:eastAsia="tr-TR"/>
          <w14:ligatures w14:val="none"/>
        </w:rPr>
        <w:t xml:space="preserve"> Does the health status of intimate partner violence victims warrant pharmacies as portals for public health promotion? </w:t>
      </w:r>
      <w:r w:rsidR="00272E75" w:rsidRPr="000C5B3E">
        <w:rPr>
          <w:rFonts w:ascii="Times New Roman" w:eastAsia="Times New Roman" w:hAnsi="Times New Roman" w:cs="Times New Roman"/>
          <w:kern w:val="0"/>
          <w:sz w:val="24"/>
          <w:szCs w:val="24"/>
          <w:lang w:eastAsia="tr-TR"/>
          <w14:ligatures w14:val="none"/>
        </w:rPr>
        <w:t xml:space="preserve">Journal of the American Pharmacists Association. </w:t>
      </w:r>
      <w:r w:rsidRPr="000C5B3E">
        <w:rPr>
          <w:rFonts w:ascii="Times New Roman" w:eastAsia="Times New Roman" w:hAnsi="Times New Roman" w:cs="Times New Roman"/>
          <w:kern w:val="0"/>
          <w:sz w:val="24"/>
          <w:szCs w:val="24"/>
          <w:lang w:eastAsia="tr-TR"/>
          <w14:ligatures w14:val="none"/>
        </w:rPr>
        <w:t xml:space="preserve">2010;50(2):200–206. </w:t>
      </w:r>
      <w:hyperlink r:id="rId18" w:history="1">
        <w:r w:rsidRPr="000C5B3E">
          <w:rPr>
            <w:rFonts w:ascii="Times New Roman" w:eastAsia="Times New Roman" w:hAnsi="Times New Roman" w:cs="Times New Roman"/>
            <w:color w:val="0000FF"/>
            <w:kern w:val="0"/>
            <w:sz w:val="24"/>
            <w:szCs w:val="24"/>
            <w:u w:val="single"/>
            <w:lang w:eastAsia="tr-TR"/>
            <w14:ligatures w14:val="none"/>
          </w:rPr>
          <w:t>https://doi.org/10.1331/JAPhA.2010.09094</w:t>
        </w:r>
      </w:hyperlink>
    </w:p>
    <w:p w14:paraId="51061660" w14:textId="6BA463B4"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Lewis NV, Stone T, Feder GS, Horwood J. Barriers and facilitators to pharmacists’ engagement in response to domestic violence: a qualitative interview study informed by the COM-B model. J</w:t>
      </w:r>
      <w:r w:rsidR="00272E75" w:rsidRPr="000C5B3E">
        <w:rPr>
          <w:rFonts w:ascii="Times New Roman" w:eastAsia="Times New Roman" w:hAnsi="Times New Roman" w:cs="Times New Roman"/>
          <w:kern w:val="0"/>
          <w:sz w:val="24"/>
          <w:szCs w:val="24"/>
          <w:lang w:eastAsia="tr-TR"/>
          <w14:ligatures w14:val="none"/>
        </w:rPr>
        <w:t>ournal of</w:t>
      </w:r>
      <w:r w:rsidRPr="000C5B3E">
        <w:rPr>
          <w:rFonts w:ascii="Times New Roman" w:eastAsia="Times New Roman" w:hAnsi="Times New Roman" w:cs="Times New Roman"/>
          <w:kern w:val="0"/>
          <w:sz w:val="24"/>
          <w:szCs w:val="24"/>
          <w:lang w:eastAsia="tr-TR"/>
          <w14:ligatures w14:val="none"/>
        </w:rPr>
        <w:t xml:space="preserve"> Public Health. 2023;45(1</w:t>
      </w:r>
      <w:r w:rsidR="00AF20DC" w:rsidRPr="000C5B3E">
        <w:rPr>
          <w:rFonts w:ascii="Times New Roman" w:eastAsia="Times New Roman" w:hAnsi="Times New Roman" w:cs="Times New Roman"/>
          <w:kern w:val="0"/>
          <w:sz w:val="24"/>
          <w:szCs w:val="24"/>
          <w:lang w:eastAsia="tr-TR"/>
          <w14:ligatures w14:val="none"/>
        </w:rPr>
        <w:t>): e</w:t>
      </w:r>
      <w:r w:rsidRPr="000C5B3E">
        <w:rPr>
          <w:rFonts w:ascii="Times New Roman" w:eastAsia="Times New Roman" w:hAnsi="Times New Roman" w:cs="Times New Roman"/>
          <w:kern w:val="0"/>
          <w:sz w:val="24"/>
          <w:szCs w:val="24"/>
          <w:lang w:eastAsia="tr-TR"/>
          <w14:ligatures w14:val="none"/>
        </w:rPr>
        <w:t xml:space="preserve">104–e113. </w:t>
      </w:r>
      <w:hyperlink r:id="rId19" w:history="1">
        <w:r w:rsidRPr="000C5B3E">
          <w:rPr>
            <w:rFonts w:ascii="Times New Roman" w:eastAsia="Times New Roman" w:hAnsi="Times New Roman" w:cs="Times New Roman"/>
            <w:color w:val="0000FF"/>
            <w:kern w:val="0"/>
            <w:sz w:val="24"/>
            <w:szCs w:val="24"/>
            <w:u w:val="single"/>
            <w:lang w:eastAsia="tr-TR"/>
            <w14:ligatures w14:val="none"/>
          </w:rPr>
          <w:t>https://doi.org/10.1093/pubmed/fdab375</w:t>
        </w:r>
      </w:hyperlink>
    </w:p>
    <w:p w14:paraId="71953EAF" w14:textId="263E41AE"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Yılmaz Ö, Boz H, Arslan A. Depresyon Anksiyete Stres Ölçeğinin (DASS-21) Türkçe kısa formunun geçerlilik-güvenilirlik çalışması. Finans Ekonomi ve Sosyal Araştırmalar Dergisi. 2017;2(2):78–91.</w:t>
      </w:r>
      <w:r w:rsidR="005E7342" w:rsidRPr="000C5B3E">
        <w:rPr>
          <w:rFonts w:ascii="Times New Roman" w:eastAsia="Times New Roman" w:hAnsi="Times New Roman" w:cs="Times New Roman"/>
          <w:kern w:val="0"/>
          <w:sz w:val="24"/>
          <w:szCs w:val="24"/>
          <w:lang w:eastAsia="tr-TR"/>
          <w14:ligatures w14:val="none"/>
        </w:rPr>
        <w:t xml:space="preserve"> (In Turkish)</w:t>
      </w:r>
    </w:p>
    <w:p w14:paraId="0592A94D" w14:textId="6A4D8B54"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lastRenderedPageBreak/>
        <w:t>Lovibond PF, Lovibond SH. The structure of negative emotional states: comparison of the DASS with the Beck Depression and Anxiety Inventories. Behav</w:t>
      </w:r>
      <w:r w:rsidR="00272E75" w:rsidRPr="000C5B3E">
        <w:rPr>
          <w:rFonts w:ascii="Times New Roman" w:eastAsia="Times New Roman" w:hAnsi="Times New Roman" w:cs="Times New Roman"/>
          <w:kern w:val="0"/>
          <w:sz w:val="24"/>
          <w:szCs w:val="24"/>
          <w:lang w:eastAsia="tr-TR"/>
          <w14:ligatures w14:val="none"/>
        </w:rPr>
        <w:t>iour</w:t>
      </w:r>
      <w:r w:rsidRPr="000C5B3E">
        <w:rPr>
          <w:rFonts w:ascii="Times New Roman" w:eastAsia="Times New Roman" w:hAnsi="Times New Roman" w:cs="Times New Roman"/>
          <w:kern w:val="0"/>
          <w:sz w:val="24"/>
          <w:szCs w:val="24"/>
          <w:lang w:eastAsia="tr-TR"/>
          <w14:ligatures w14:val="none"/>
        </w:rPr>
        <w:t xml:space="preserve"> Res</w:t>
      </w:r>
      <w:r w:rsidR="00272E75" w:rsidRPr="000C5B3E">
        <w:rPr>
          <w:rFonts w:ascii="Times New Roman" w:eastAsia="Times New Roman" w:hAnsi="Times New Roman" w:cs="Times New Roman"/>
          <w:kern w:val="0"/>
          <w:sz w:val="24"/>
          <w:szCs w:val="24"/>
          <w:lang w:eastAsia="tr-TR"/>
          <w14:ligatures w14:val="none"/>
        </w:rPr>
        <w:t>earch and</w:t>
      </w:r>
      <w:r w:rsidRPr="000C5B3E">
        <w:rPr>
          <w:rFonts w:ascii="Times New Roman" w:eastAsia="Times New Roman" w:hAnsi="Times New Roman" w:cs="Times New Roman"/>
          <w:kern w:val="0"/>
          <w:sz w:val="24"/>
          <w:szCs w:val="24"/>
          <w:lang w:eastAsia="tr-TR"/>
          <w14:ligatures w14:val="none"/>
        </w:rPr>
        <w:t xml:space="preserve"> Ther</w:t>
      </w:r>
      <w:r w:rsidR="00272E75" w:rsidRPr="000C5B3E">
        <w:rPr>
          <w:rFonts w:ascii="Times New Roman" w:eastAsia="Times New Roman" w:hAnsi="Times New Roman" w:cs="Times New Roman"/>
          <w:kern w:val="0"/>
          <w:sz w:val="24"/>
          <w:szCs w:val="24"/>
          <w:lang w:eastAsia="tr-TR"/>
          <w14:ligatures w14:val="none"/>
        </w:rPr>
        <w:t>apy.</w:t>
      </w:r>
      <w:r w:rsidRPr="000C5B3E">
        <w:rPr>
          <w:rFonts w:ascii="Times New Roman" w:eastAsia="Times New Roman" w:hAnsi="Times New Roman" w:cs="Times New Roman"/>
          <w:kern w:val="0"/>
          <w:sz w:val="24"/>
          <w:szCs w:val="24"/>
          <w:lang w:eastAsia="tr-TR"/>
          <w14:ligatures w14:val="none"/>
        </w:rPr>
        <w:t xml:space="preserve"> 1995;33(3):335–343. </w:t>
      </w:r>
      <w:hyperlink r:id="rId20" w:history="1">
        <w:r w:rsidRPr="000C5B3E">
          <w:rPr>
            <w:rFonts w:ascii="Times New Roman" w:eastAsia="Times New Roman" w:hAnsi="Times New Roman" w:cs="Times New Roman"/>
            <w:color w:val="0000FF"/>
            <w:kern w:val="0"/>
            <w:sz w:val="24"/>
            <w:szCs w:val="24"/>
            <w:u w:val="single"/>
            <w:lang w:eastAsia="tr-TR"/>
            <w14:ligatures w14:val="none"/>
          </w:rPr>
          <w:t>https://doi.org/10.1016/0005-7967(94)00075-U</w:t>
        </w:r>
      </w:hyperlink>
    </w:p>
    <w:p w14:paraId="6675ADD6" w14:textId="49AAC373"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Braun V, Clarke V. Reflecting on reflexive thematic analysis. </w:t>
      </w:r>
      <w:r w:rsidR="00272E75" w:rsidRPr="000C5B3E">
        <w:rPr>
          <w:rFonts w:ascii="Times New Roman" w:eastAsia="Times New Roman" w:hAnsi="Times New Roman" w:cs="Times New Roman"/>
          <w:kern w:val="0"/>
          <w:sz w:val="24"/>
          <w:szCs w:val="24"/>
          <w:lang w:eastAsia="tr-TR"/>
          <w14:ligatures w14:val="none"/>
        </w:rPr>
        <w:t>Qualitative Research in Sport, Exercise and Health</w:t>
      </w:r>
      <w:r w:rsidRPr="000C5B3E">
        <w:rPr>
          <w:rFonts w:ascii="Times New Roman" w:eastAsia="Times New Roman" w:hAnsi="Times New Roman" w:cs="Times New Roman"/>
          <w:kern w:val="0"/>
          <w:sz w:val="24"/>
          <w:szCs w:val="24"/>
          <w:lang w:eastAsia="tr-TR"/>
          <w14:ligatures w14:val="none"/>
        </w:rPr>
        <w:t xml:space="preserve">. 2019;11(4):589–597. </w:t>
      </w:r>
      <w:hyperlink r:id="rId21" w:history="1">
        <w:r w:rsidRPr="000C5B3E">
          <w:rPr>
            <w:rFonts w:ascii="Times New Roman" w:eastAsia="Times New Roman" w:hAnsi="Times New Roman" w:cs="Times New Roman"/>
            <w:color w:val="0000FF"/>
            <w:kern w:val="0"/>
            <w:sz w:val="24"/>
            <w:szCs w:val="24"/>
            <w:u w:val="single"/>
            <w:lang w:eastAsia="tr-TR"/>
            <w14:ligatures w14:val="none"/>
          </w:rPr>
          <w:t>https://doi.org/10.1080/2159676X.2019.1628806</w:t>
        </w:r>
      </w:hyperlink>
    </w:p>
    <w:p w14:paraId="4B9AD3CB" w14:textId="5B4F5A05"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Alexander AP. Lincoln and Guba’s quality criteria for trustworthiness. IDC Int</w:t>
      </w:r>
      <w:r w:rsidR="00272E75" w:rsidRPr="000C5B3E">
        <w:rPr>
          <w:rFonts w:ascii="Times New Roman" w:eastAsia="Times New Roman" w:hAnsi="Times New Roman" w:cs="Times New Roman"/>
          <w:kern w:val="0"/>
          <w:sz w:val="24"/>
          <w:szCs w:val="24"/>
          <w:lang w:eastAsia="tr-TR"/>
          <w14:ligatures w14:val="none"/>
        </w:rPr>
        <w:t>ernal</w:t>
      </w:r>
      <w:r w:rsidRPr="000C5B3E">
        <w:rPr>
          <w:rFonts w:ascii="Times New Roman" w:eastAsia="Times New Roman" w:hAnsi="Times New Roman" w:cs="Times New Roman"/>
          <w:kern w:val="0"/>
          <w:sz w:val="24"/>
          <w:szCs w:val="24"/>
          <w:lang w:eastAsia="tr-TR"/>
          <w14:ligatures w14:val="none"/>
        </w:rPr>
        <w:t xml:space="preserve"> J</w:t>
      </w:r>
      <w:r w:rsidR="00272E75" w:rsidRPr="000C5B3E">
        <w:rPr>
          <w:rFonts w:ascii="Times New Roman" w:eastAsia="Times New Roman" w:hAnsi="Times New Roman" w:cs="Times New Roman"/>
          <w:kern w:val="0"/>
          <w:sz w:val="24"/>
          <w:szCs w:val="24"/>
          <w:lang w:eastAsia="tr-TR"/>
          <w14:ligatures w14:val="none"/>
        </w:rPr>
        <w:t>ournal</w:t>
      </w:r>
      <w:r w:rsidRPr="000C5B3E">
        <w:rPr>
          <w:rFonts w:ascii="Times New Roman" w:eastAsia="Times New Roman" w:hAnsi="Times New Roman" w:cs="Times New Roman"/>
          <w:kern w:val="0"/>
          <w:sz w:val="24"/>
          <w:szCs w:val="24"/>
          <w:lang w:eastAsia="tr-TR"/>
          <w14:ligatures w14:val="none"/>
        </w:rPr>
        <w:t>. 2019;6(4):1–6.</w:t>
      </w:r>
    </w:p>
    <w:p w14:paraId="0DBBDF8D" w14:textId="718F3993"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Popčević M, Javorina T, Košiček M, Meštrović A. Exposure of pharmacists and pharmacy technicians to violence in community pharmacies in Southeast Europe: frequency and ethical considerations. Pharmacy. 2024;12(3):88. </w:t>
      </w:r>
      <w:hyperlink r:id="rId22" w:history="1">
        <w:r w:rsidRPr="000C5B3E">
          <w:rPr>
            <w:rFonts w:ascii="Times New Roman" w:eastAsia="Times New Roman" w:hAnsi="Times New Roman" w:cs="Times New Roman"/>
            <w:color w:val="0000FF"/>
            <w:kern w:val="0"/>
            <w:sz w:val="24"/>
            <w:szCs w:val="24"/>
            <w:u w:val="single"/>
            <w:lang w:eastAsia="tr-TR"/>
            <w14:ligatures w14:val="none"/>
          </w:rPr>
          <w:t>https://doi.org/10.3390/pharmacy12030088</w:t>
        </w:r>
      </w:hyperlink>
    </w:p>
    <w:p w14:paraId="7B7BDEAA" w14:textId="2DD3D1ED"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Bhagavathula AS, Obamiro K, Hussain Z, Tesfaye W. Workplace violence against pharmacists: a systematic review and meta-analysis. </w:t>
      </w:r>
      <w:r w:rsidR="00272E75" w:rsidRPr="000C5B3E">
        <w:rPr>
          <w:rFonts w:ascii="Times New Roman" w:eastAsia="Times New Roman" w:hAnsi="Times New Roman" w:cs="Times New Roman"/>
          <w:kern w:val="0"/>
          <w:sz w:val="24"/>
          <w:szCs w:val="24"/>
          <w:lang w:eastAsia="tr-TR"/>
          <w14:ligatures w14:val="none"/>
        </w:rPr>
        <w:t xml:space="preserve">Journal of the American Pharmacists Association. </w:t>
      </w:r>
      <w:r w:rsidRPr="000C5B3E">
        <w:rPr>
          <w:rFonts w:ascii="Times New Roman" w:eastAsia="Times New Roman" w:hAnsi="Times New Roman" w:cs="Times New Roman"/>
          <w:kern w:val="0"/>
          <w:sz w:val="24"/>
          <w:szCs w:val="24"/>
          <w:lang w:eastAsia="tr-TR"/>
          <w14:ligatures w14:val="none"/>
        </w:rPr>
        <w:t xml:space="preserve">2023;63(1):23–31. </w:t>
      </w:r>
      <w:hyperlink r:id="rId23" w:history="1">
        <w:r w:rsidRPr="000C5B3E">
          <w:rPr>
            <w:rFonts w:ascii="Times New Roman" w:eastAsia="Times New Roman" w:hAnsi="Times New Roman" w:cs="Times New Roman"/>
            <w:color w:val="0000FF"/>
            <w:kern w:val="0"/>
            <w:sz w:val="24"/>
            <w:szCs w:val="24"/>
            <w:u w:val="single"/>
            <w:lang w:eastAsia="tr-TR"/>
            <w14:ligatures w14:val="none"/>
          </w:rPr>
          <w:t>https://doi.org/10.1016/j.japh.2022.07.012</w:t>
        </w:r>
      </w:hyperlink>
    </w:p>
    <w:p w14:paraId="5A1A13AC" w14:textId="32DB9EA6"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Calgan Z, Aslan D, Yegenoglu S. Community pharmacists’ burnout levels and related factors: an example from Turkey. Int</w:t>
      </w:r>
      <w:r w:rsidR="00272E75" w:rsidRPr="000C5B3E">
        <w:rPr>
          <w:rFonts w:ascii="Times New Roman" w:eastAsia="Times New Roman" w:hAnsi="Times New Roman" w:cs="Times New Roman"/>
          <w:kern w:val="0"/>
          <w:sz w:val="24"/>
          <w:szCs w:val="24"/>
          <w:lang w:eastAsia="tr-TR"/>
          <w14:ligatures w14:val="none"/>
        </w:rPr>
        <w:t>ernal</w:t>
      </w:r>
      <w:r w:rsidRPr="000C5B3E">
        <w:rPr>
          <w:rFonts w:ascii="Times New Roman" w:eastAsia="Times New Roman" w:hAnsi="Times New Roman" w:cs="Times New Roman"/>
          <w:kern w:val="0"/>
          <w:sz w:val="24"/>
          <w:szCs w:val="24"/>
          <w:lang w:eastAsia="tr-TR"/>
          <w14:ligatures w14:val="none"/>
        </w:rPr>
        <w:t xml:space="preserve"> J</w:t>
      </w:r>
      <w:r w:rsidR="00272E75" w:rsidRPr="000C5B3E">
        <w:rPr>
          <w:rFonts w:ascii="Times New Roman" w:eastAsia="Times New Roman" w:hAnsi="Times New Roman" w:cs="Times New Roman"/>
          <w:kern w:val="0"/>
          <w:sz w:val="24"/>
          <w:szCs w:val="24"/>
          <w:lang w:eastAsia="tr-TR"/>
          <w14:ligatures w14:val="none"/>
        </w:rPr>
        <w:t>ournal of</w:t>
      </w:r>
      <w:r w:rsidRPr="000C5B3E">
        <w:rPr>
          <w:rFonts w:ascii="Times New Roman" w:eastAsia="Times New Roman" w:hAnsi="Times New Roman" w:cs="Times New Roman"/>
          <w:kern w:val="0"/>
          <w:sz w:val="24"/>
          <w:szCs w:val="24"/>
          <w:lang w:eastAsia="tr-TR"/>
          <w14:ligatures w14:val="none"/>
        </w:rPr>
        <w:t xml:space="preserve"> Clin</w:t>
      </w:r>
      <w:r w:rsidR="00272E75" w:rsidRPr="000C5B3E">
        <w:rPr>
          <w:rFonts w:ascii="Times New Roman" w:eastAsia="Times New Roman" w:hAnsi="Times New Roman" w:cs="Times New Roman"/>
          <w:kern w:val="0"/>
          <w:sz w:val="24"/>
          <w:szCs w:val="24"/>
          <w:lang w:eastAsia="tr-TR"/>
          <w14:ligatures w14:val="none"/>
        </w:rPr>
        <w:t>ical</w:t>
      </w:r>
      <w:r w:rsidRPr="000C5B3E">
        <w:rPr>
          <w:rFonts w:ascii="Times New Roman" w:eastAsia="Times New Roman" w:hAnsi="Times New Roman" w:cs="Times New Roman"/>
          <w:kern w:val="0"/>
          <w:sz w:val="24"/>
          <w:szCs w:val="24"/>
          <w:lang w:eastAsia="tr-TR"/>
          <w14:ligatures w14:val="none"/>
        </w:rPr>
        <w:t xml:space="preserve"> Pharm</w:t>
      </w:r>
      <w:r w:rsidR="00272E75" w:rsidRPr="000C5B3E">
        <w:rPr>
          <w:rFonts w:ascii="Times New Roman" w:eastAsia="Times New Roman" w:hAnsi="Times New Roman" w:cs="Times New Roman"/>
          <w:kern w:val="0"/>
          <w:sz w:val="24"/>
          <w:szCs w:val="24"/>
          <w:lang w:eastAsia="tr-TR"/>
          <w14:ligatures w14:val="none"/>
        </w:rPr>
        <w:t>acy.</w:t>
      </w:r>
      <w:r w:rsidRPr="000C5B3E">
        <w:rPr>
          <w:rFonts w:ascii="Times New Roman" w:eastAsia="Times New Roman" w:hAnsi="Times New Roman" w:cs="Times New Roman"/>
          <w:kern w:val="0"/>
          <w:sz w:val="24"/>
          <w:szCs w:val="24"/>
          <w:lang w:eastAsia="tr-TR"/>
          <w14:ligatures w14:val="none"/>
        </w:rPr>
        <w:t xml:space="preserve"> </w:t>
      </w:r>
      <w:r w:rsidR="00AF20DC" w:rsidRPr="000C5B3E">
        <w:rPr>
          <w:rFonts w:ascii="Times New Roman" w:eastAsia="Times New Roman" w:hAnsi="Times New Roman" w:cs="Times New Roman"/>
          <w:kern w:val="0"/>
          <w:sz w:val="24"/>
          <w:szCs w:val="24"/>
          <w:lang w:eastAsia="tr-TR"/>
          <w14:ligatures w14:val="none"/>
        </w:rPr>
        <w:t>2011; 33:92</w:t>
      </w:r>
      <w:r w:rsidRPr="000C5B3E">
        <w:rPr>
          <w:rFonts w:ascii="Times New Roman" w:eastAsia="Times New Roman" w:hAnsi="Times New Roman" w:cs="Times New Roman"/>
          <w:kern w:val="0"/>
          <w:sz w:val="24"/>
          <w:szCs w:val="24"/>
          <w:lang w:eastAsia="tr-TR"/>
          <w14:ligatures w14:val="none"/>
        </w:rPr>
        <w:t>–100.</w:t>
      </w:r>
    </w:p>
    <w:p w14:paraId="35718753" w14:textId="5B43FB7A"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Abilmona R, Dimassi H, Aboulhosn R, Chamoun N. Burnout and coping strategies among health system pharmacists in Lebanon: a cross-sectional study. BMC Health Serv</w:t>
      </w:r>
      <w:r w:rsidR="00272E75" w:rsidRPr="000C5B3E">
        <w:rPr>
          <w:rFonts w:ascii="Times New Roman" w:eastAsia="Times New Roman" w:hAnsi="Times New Roman" w:cs="Times New Roman"/>
          <w:kern w:val="0"/>
          <w:sz w:val="24"/>
          <w:szCs w:val="24"/>
          <w:lang w:eastAsia="tr-TR"/>
          <w14:ligatures w14:val="none"/>
        </w:rPr>
        <w:t>ices</w:t>
      </w:r>
      <w:r w:rsidRPr="000C5B3E">
        <w:rPr>
          <w:rFonts w:ascii="Times New Roman" w:eastAsia="Times New Roman" w:hAnsi="Times New Roman" w:cs="Times New Roman"/>
          <w:kern w:val="0"/>
          <w:sz w:val="24"/>
          <w:szCs w:val="24"/>
          <w:lang w:eastAsia="tr-TR"/>
          <w14:ligatures w14:val="none"/>
        </w:rPr>
        <w:t xml:space="preserve"> Res</w:t>
      </w:r>
      <w:r w:rsidR="00272E75" w:rsidRPr="000C5B3E">
        <w:rPr>
          <w:rFonts w:ascii="Times New Roman" w:eastAsia="Times New Roman" w:hAnsi="Times New Roman" w:cs="Times New Roman"/>
          <w:kern w:val="0"/>
          <w:sz w:val="24"/>
          <w:szCs w:val="24"/>
          <w:lang w:eastAsia="tr-TR"/>
          <w14:ligatures w14:val="none"/>
        </w:rPr>
        <w:t>earch</w:t>
      </w:r>
      <w:r w:rsidRPr="000C5B3E">
        <w:rPr>
          <w:rFonts w:ascii="Times New Roman" w:eastAsia="Times New Roman" w:hAnsi="Times New Roman" w:cs="Times New Roman"/>
          <w:kern w:val="0"/>
          <w:sz w:val="24"/>
          <w:szCs w:val="24"/>
          <w:lang w:eastAsia="tr-TR"/>
          <w14:ligatures w14:val="none"/>
        </w:rPr>
        <w:t xml:space="preserve">. 2023;23(1):424. </w:t>
      </w:r>
      <w:hyperlink r:id="rId24" w:history="1">
        <w:r w:rsidRPr="000C5B3E">
          <w:rPr>
            <w:rFonts w:ascii="Times New Roman" w:eastAsia="Times New Roman" w:hAnsi="Times New Roman" w:cs="Times New Roman"/>
            <w:color w:val="0000FF"/>
            <w:kern w:val="0"/>
            <w:sz w:val="24"/>
            <w:szCs w:val="24"/>
            <w:u w:val="single"/>
            <w:lang w:eastAsia="tr-TR"/>
            <w14:ligatures w14:val="none"/>
          </w:rPr>
          <w:t>https://doi.org/10.1186/s12913-023-09422-7</w:t>
        </w:r>
      </w:hyperlink>
    </w:p>
    <w:p w14:paraId="5F614CD3" w14:textId="58B53343" w:rsidR="000B6D63" w:rsidRPr="000C5B3E" w:rsidRDefault="000B6D63" w:rsidP="002A6F88">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t xml:space="preserve">Hassell K, Seston EM, Schafheutle EI, Wagner A, Eden M. Workload in community pharmacies in the UK and its impact on patient safety and pharmacists’ well-being: a review. Health </w:t>
      </w:r>
      <w:r w:rsidR="00272E75" w:rsidRPr="000C5B3E">
        <w:rPr>
          <w:rFonts w:ascii="Times New Roman" w:eastAsia="Times New Roman" w:hAnsi="Times New Roman" w:cs="Times New Roman"/>
          <w:kern w:val="0"/>
          <w:sz w:val="24"/>
          <w:szCs w:val="24"/>
          <w:lang w:eastAsia="tr-TR"/>
          <w14:ligatures w14:val="none"/>
        </w:rPr>
        <w:t xml:space="preserve">and </w:t>
      </w:r>
      <w:r w:rsidRPr="000C5B3E">
        <w:rPr>
          <w:rFonts w:ascii="Times New Roman" w:eastAsia="Times New Roman" w:hAnsi="Times New Roman" w:cs="Times New Roman"/>
          <w:kern w:val="0"/>
          <w:sz w:val="24"/>
          <w:szCs w:val="24"/>
          <w:lang w:eastAsia="tr-TR"/>
          <w14:ligatures w14:val="none"/>
        </w:rPr>
        <w:t>Soc</w:t>
      </w:r>
      <w:r w:rsidR="00272E75" w:rsidRPr="000C5B3E">
        <w:rPr>
          <w:rFonts w:ascii="Times New Roman" w:eastAsia="Times New Roman" w:hAnsi="Times New Roman" w:cs="Times New Roman"/>
          <w:kern w:val="0"/>
          <w:sz w:val="24"/>
          <w:szCs w:val="24"/>
          <w:lang w:eastAsia="tr-TR"/>
          <w14:ligatures w14:val="none"/>
        </w:rPr>
        <w:t>ial</w:t>
      </w:r>
      <w:r w:rsidRPr="000C5B3E">
        <w:rPr>
          <w:rFonts w:ascii="Times New Roman" w:eastAsia="Times New Roman" w:hAnsi="Times New Roman" w:cs="Times New Roman"/>
          <w:kern w:val="0"/>
          <w:sz w:val="24"/>
          <w:szCs w:val="24"/>
          <w:lang w:eastAsia="tr-TR"/>
          <w14:ligatures w14:val="none"/>
        </w:rPr>
        <w:t xml:space="preserve"> Care</w:t>
      </w:r>
      <w:r w:rsidR="00272E75" w:rsidRPr="000C5B3E">
        <w:rPr>
          <w:rFonts w:ascii="Times New Roman" w:eastAsia="Times New Roman" w:hAnsi="Times New Roman" w:cs="Times New Roman"/>
          <w:kern w:val="0"/>
          <w:sz w:val="24"/>
          <w:szCs w:val="24"/>
          <w:lang w:eastAsia="tr-TR"/>
          <w14:ligatures w14:val="none"/>
        </w:rPr>
        <w:t xml:space="preserve"> in the</w:t>
      </w:r>
      <w:r w:rsidRPr="000C5B3E">
        <w:rPr>
          <w:rFonts w:ascii="Times New Roman" w:eastAsia="Times New Roman" w:hAnsi="Times New Roman" w:cs="Times New Roman"/>
          <w:kern w:val="0"/>
          <w:sz w:val="24"/>
          <w:szCs w:val="24"/>
          <w:lang w:eastAsia="tr-TR"/>
          <w14:ligatures w14:val="none"/>
        </w:rPr>
        <w:t xml:space="preserve"> Community. 2011;19(6):561–575. </w:t>
      </w:r>
      <w:hyperlink r:id="rId25" w:history="1">
        <w:r w:rsidRPr="000C5B3E">
          <w:rPr>
            <w:rFonts w:ascii="Times New Roman" w:eastAsia="Times New Roman" w:hAnsi="Times New Roman" w:cs="Times New Roman"/>
            <w:color w:val="0000FF"/>
            <w:kern w:val="0"/>
            <w:sz w:val="24"/>
            <w:szCs w:val="24"/>
            <w:u w:val="single"/>
            <w:lang w:eastAsia="tr-TR"/>
            <w14:ligatures w14:val="none"/>
          </w:rPr>
          <w:t>https://doi.org/10.1111/j.1365-2524.2011.00997.x</w:t>
        </w:r>
      </w:hyperlink>
    </w:p>
    <w:p w14:paraId="0086B83A" w14:textId="7521C82A" w:rsidR="000B6D63" w:rsidRPr="000C5B3E" w:rsidRDefault="000B6D63" w:rsidP="00A255D4">
      <w:pPr>
        <w:numPr>
          <w:ilvl w:val="0"/>
          <w:numId w:val="1"/>
        </w:num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lastRenderedPageBreak/>
        <w:t>Lynch M, O’Leary AC. Understanding the factors influencing community pharmacist retention—A qualitative study. Explor</w:t>
      </w:r>
      <w:r w:rsidR="00272E75" w:rsidRPr="000C5B3E">
        <w:rPr>
          <w:rFonts w:ascii="Times New Roman" w:eastAsia="Times New Roman" w:hAnsi="Times New Roman" w:cs="Times New Roman"/>
          <w:kern w:val="0"/>
          <w:sz w:val="24"/>
          <w:szCs w:val="24"/>
          <w:lang w:eastAsia="tr-TR"/>
          <w14:ligatures w14:val="none"/>
        </w:rPr>
        <w:t>atory</w:t>
      </w:r>
      <w:r w:rsidRPr="000C5B3E">
        <w:rPr>
          <w:rFonts w:ascii="Times New Roman" w:eastAsia="Times New Roman" w:hAnsi="Times New Roman" w:cs="Times New Roman"/>
          <w:kern w:val="0"/>
          <w:sz w:val="24"/>
          <w:szCs w:val="24"/>
          <w:lang w:eastAsia="tr-TR"/>
          <w14:ligatures w14:val="none"/>
        </w:rPr>
        <w:t xml:space="preserve"> Res</w:t>
      </w:r>
      <w:r w:rsidR="00272E75" w:rsidRPr="000C5B3E">
        <w:rPr>
          <w:rFonts w:ascii="Times New Roman" w:eastAsia="Times New Roman" w:hAnsi="Times New Roman" w:cs="Times New Roman"/>
          <w:kern w:val="0"/>
          <w:sz w:val="24"/>
          <w:szCs w:val="24"/>
          <w:lang w:eastAsia="tr-TR"/>
          <w14:ligatures w14:val="none"/>
        </w:rPr>
        <w:t>earch in</w:t>
      </w:r>
      <w:r w:rsidRPr="000C5B3E">
        <w:rPr>
          <w:rFonts w:ascii="Times New Roman" w:eastAsia="Times New Roman" w:hAnsi="Times New Roman" w:cs="Times New Roman"/>
          <w:kern w:val="0"/>
          <w:sz w:val="24"/>
          <w:szCs w:val="24"/>
          <w:lang w:eastAsia="tr-TR"/>
          <w14:ligatures w14:val="none"/>
        </w:rPr>
        <w:t xml:space="preserve"> Clin</w:t>
      </w:r>
      <w:r w:rsidR="00272E75" w:rsidRPr="000C5B3E">
        <w:rPr>
          <w:rFonts w:ascii="Times New Roman" w:eastAsia="Times New Roman" w:hAnsi="Times New Roman" w:cs="Times New Roman"/>
          <w:kern w:val="0"/>
          <w:sz w:val="24"/>
          <w:szCs w:val="24"/>
          <w:lang w:eastAsia="tr-TR"/>
          <w14:ligatures w14:val="none"/>
        </w:rPr>
        <w:t>ical and</w:t>
      </w:r>
      <w:r w:rsidRPr="000C5B3E">
        <w:rPr>
          <w:rFonts w:ascii="Times New Roman" w:eastAsia="Times New Roman" w:hAnsi="Times New Roman" w:cs="Times New Roman"/>
          <w:kern w:val="0"/>
          <w:sz w:val="24"/>
          <w:szCs w:val="24"/>
          <w:lang w:eastAsia="tr-TR"/>
          <w14:ligatures w14:val="none"/>
        </w:rPr>
        <w:t xml:space="preserve"> Soc</w:t>
      </w:r>
      <w:r w:rsidR="00272E75" w:rsidRPr="000C5B3E">
        <w:rPr>
          <w:rFonts w:ascii="Times New Roman" w:eastAsia="Times New Roman" w:hAnsi="Times New Roman" w:cs="Times New Roman"/>
          <w:kern w:val="0"/>
          <w:sz w:val="24"/>
          <w:szCs w:val="24"/>
          <w:lang w:eastAsia="tr-TR"/>
          <w14:ligatures w14:val="none"/>
        </w:rPr>
        <w:t>ial</w:t>
      </w:r>
      <w:r w:rsidRPr="000C5B3E">
        <w:rPr>
          <w:rFonts w:ascii="Times New Roman" w:eastAsia="Times New Roman" w:hAnsi="Times New Roman" w:cs="Times New Roman"/>
          <w:kern w:val="0"/>
          <w:sz w:val="24"/>
          <w:szCs w:val="24"/>
          <w:lang w:eastAsia="tr-TR"/>
          <w14:ligatures w14:val="none"/>
        </w:rPr>
        <w:t xml:space="preserve"> Pharm</w:t>
      </w:r>
      <w:r w:rsidR="00272E75" w:rsidRPr="000C5B3E">
        <w:rPr>
          <w:rFonts w:ascii="Times New Roman" w:eastAsia="Times New Roman" w:hAnsi="Times New Roman" w:cs="Times New Roman"/>
          <w:kern w:val="0"/>
          <w:sz w:val="24"/>
          <w:szCs w:val="24"/>
          <w:lang w:eastAsia="tr-TR"/>
          <w14:ligatures w14:val="none"/>
        </w:rPr>
        <w:t>acy</w:t>
      </w:r>
      <w:r w:rsidRPr="000C5B3E">
        <w:rPr>
          <w:rFonts w:ascii="Times New Roman" w:eastAsia="Times New Roman" w:hAnsi="Times New Roman" w:cs="Times New Roman"/>
          <w:kern w:val="0"/>
          <w:sz w:val="24"/>
          <w:szCs w:val="24"/>
          <w:lang w:eastAsia="tr-TR"/>
          <w14:ligatures w14:val="none"/>
        </w:rPr>
        <w:t xml:space="preserve">. </w:t>
      </w:r>
      <w:r w:rsidR="00AF20DC" w:rsidRPr="000C5B3E">
        <w:rPr>
          <w:rFonts w:ascii="Times New Roman" w:eastAsia="Times New Roman" w:hAnsi="Times New Roman" w:cs="Times New Roman"/>
          <w:kern w:val="0"/>
          <w:sz w:val="24"/>
          <w:szCs w:val="24"/>
          <w:lang w:eastAsia="tr-TR"/>
          <w14:ligatures w14:val="none"/>
        </w:rPr>
        <w:t>2023; 12:100329</w:t>
      </w:r>
      <w:r w:rsidRPr="000C5B3E">
        <w:rPr>
          <w:rFonts w:ascii="Times New Roman" w:eastAsia="Times New Roman" w:hAnsi="Times New Roman" w:cs="Times New Roman"/>
          <w:kern w:val="0"/>
          <w:sz w:val="24"/>
          <w:szCs w:val="24"/>
          <w:lang w:eastAsia="tr-TR"/>
          <w14:ligatures w14:val="none"/>
        </w:rPr>
        <w:t xml:space="preserve">. </w:t>
      </w:r>
      <w:hyperlink r:id="rId26" w:history="1">
        <w:r w:rsidRPr="000C5B3E">
          <w:rPr>
            <w:rFonts w:ascii="Times New Roman" w:eastAsia="Times New Roman" w:hAnsi="Times New Roman" w:cs="Times New Roman"/>
            <w:color w:val="0000FF"/>
            <w:kern w:val="0"/>
            <w:sz w:val="24"/>
            <w:szCs w:val="24"/>
            <w:u w:val="single"/>
            <w:lang w:eastAsia="tr-TR"/>
            <w14:ligatures w14:val="none"/>
          </w:rPr>
          <w:t>https://doi.org/10.1016/j.rcsop.2023.100329</w:t>
        </w:r>
      </w:hyperlink>
    </w:p>
    <w:p w14:paraId="4B562E76" w14:textId="77777777" w:rsidR="000B6D63" w:rsidRPr="000C5B3E" w:rsidRDefault="000B6D63" w:rsidP="002A6F88">
      <w:pPr>
        <w:spacing w:before="100" w:beforeAutospacing="1" w:after="100" w:afterAutospacing="1" w:line="480" w:lineRule="auto"/>
        <w:jc w:val="both"/>
        <w:outlineLvl w:val="1"/>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Tables</w:t>
      </w:r>
    </w:p>
    <w:p w14:paraId="444130D9"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Table 1</w:t>
      </w:r>
      <w:r w:rsidRPr="000C5B3E">
        <w:rPr>
          <w:rFonts w:ascii="Times New Roman" w:eastAsia="Times New Roman" w:hAnsi="Times New Roman" w:cs="Times New Roman"/>
          <w:kern w:val="0"/>
          <w:sz w:val="24"/>
          <w:szCs w:val="24"/>
          <w:lang w:eastAsia="tr-TR"/>
          <w14:ligatures w14:val="none"/>
        </w:rPr>
        <w:t>. Characteristics of violence experienced in pharmacies</w:t>
      </w:r>
    </w:p>
    <w:tbl>
      <w:tblPr>
        <w:tblStyle w:val="TabloKlavuzu"/>
        <w:tblW w:w="8755" w:type="dxa"/>
        <w:tblLook w:val="04A0" w:firstRow="1" w:lastRow="0" w:firstColumn="1" w:lastColumn="0" w:noHBand="0" w:noVBand="1"/>
      </w:tblPr>
      <w:tblGrid>
        <w:gridCol w:w="3510"/>
        <w:gridCol w:w="2410"/>
        <w:gridCol w:w="2835"/>
      </w:tblGrid>
      <w:tr w:rsidR="00E641DF" w:rsidRPr="000C5B3E" w14:paraId="465EFEA7" w14:textId="77777777" w:rsidTr="00CA4EFC">
        <w:tc>
          <w:tcPr>
            <w:tcW w:w="3510" w:type="dxa"/>
            <w:vAlign w:val="center"/>
          </w:tcPr>
          <w:p w14:paraId="15009D95" w14:textId="77777777"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b/>
                <w:bCs/>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Characteristics of Violence</w:t>
            </w:r>
          </w:p>
        </w:tc>
        <w:tc>
          <w:tcPr>
            <w:tcW w:w="2410" w:type="dxa"/>
            <w:vAlign w:val="center"/>
          </w:tcPr>
          <w:p w14:paraId="42342EFA" w14:textId="1D8E96D2"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b/>
                <w:bCs/>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Pharmacists (%)</w:t>
            </w:r>
          </w:p>
        </w:tc>
        <w:tc>
          <w:tcPr>
            <w:tcW w:w="2835" w:type="dxa"/>
            <w:vAlign w:val="center"/>
          </w:tcPr>
          <w:p w14:paraId="44F6AD31" w14:textId="6D3DEAE1"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b/>
                <w:bCs/>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Pharmacy Technicians (%)</w:t>
            </w:r>
          </w:p>
        </w:tc>
      </w:tr>
      <w:tr w:rsidR="00E641DF" w:rsidRPr="000C5B3E" w14:paraId="79A8CD21" w14:textId="77777777" w:rsidTr="00CA4EFC">
        <w:tc>
          <w:tcPr>
            <w:tcW w:w="8755" w:type="dxa"/>
            <w:gridSpan w:val="3"/>
            <w:vAlign w:val="center"/>
          </w:tcPr>
          <w:p w14:paraId="455C1BF1" w14:textId="77777777"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Type of Violence</w:t>
            </w:r>
          </w:p>
        </w:tc>
      </w:tr>
      <w:tr w:rsidR="00E641DF" w:rsidRPr="000C5B3E" w14:paraId="0DFC398D" w14:textId="77777777" w:rsidTr="00CA4EFC">
        <w:tc>
          <w:tcPr>
            <w:tcW w:w="3510" w:type="dxa"/>
            <w:vAlign w:val="center"/>
          </w:tcPr>
          <w:p w14:paraId="5BD2705C"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Physical Violence</w:t>
            </w:r>
          </w:p>
        </w:tc>
        <w:tc>
          <w:tcPr>
            <w:tcW w:w="2410" w:type="dxa"/>
            <w:vAlign w:val="center"/>
          </w:tcPr>
          <w:p w14:paraId="332D5F8D"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4.0%</w:t>
            </w:r>
          </w:p>
        </w:tc>
        <w:tc>
          <w:tcPr>
            <w:tcW w:w="2835" w:type="dxa"/>
            <w:vAlign w:val="center"/>
          </w:tcPr>
          <w:p w14:paraId="6EB76DCD"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1.9%</w:t>
            </w:r>
          </w:p>
        </w:tc>
      </w:tr>
      <w:tr w:rsidR="00E641DF" w:rsidRPr="000C5B3E" w14:paraId="014D0354" w14:textId="77777777" w:rsidTr="00CA4EFC">
        <w:tc>
          <w:tcPr>
            <w:tcW w:w="3510" w:type="dxa"/>
            <w:vAlign w:val="center"/>
          </w:tcPr>
          <w:p w14:paraId="2038953D"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 xml:space="preserve">Verbal Violence </w:t>
            </w:r>
          </w:p>
        </w:tc>
        <w:tc>
          <w:tcPr>
            <w:tcW w:w="2410" w:type="dxa"/>
            <w:vAlign w:val="center"/>
          </w:tcPr>
          <w:p w14:paraId="35C215C9"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59.2%</w:t>
            </w:r>
          </w:p>
        </w:tc>
        <w:tc>
          <w:tcPr>
            <w:tcW w:w="2835" w:type="dxa"/>
            <w:vAlign w:val="center"/>
          </w:tcPr>
          <w:p w14:paraId="71CA8494"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77.9%</w:t>
            </w:r>
          </w:p>
        </w:tc>
      </w:tr>
      <w:tr w:rsidR="00E641DF" w:rsidRPr="000C5B3E" w14:paraId="255181D6" w14:textId="77777777" w:rsidTr="00CA4EFC">
        <w:tc>
          <w:tcPr>
            <w:tcW w:w="3510" w:type="dxa"/>
            <w:vAlign w:val="center"/>
          </w:tcPr>
          <w:p w14:paraId="02854DD0"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 xml:space="preserve">Sexual Violence </w:t>
            </w:r>
          </w:p>
        </w:tc>
        <w:tc>
          <w:tcPr>
            <w:tcW w:w="2410" w:type="dxa"/>
            <w:vAlign w:val="center"/>
          </w:tcPr>
          <w:p w14:paraId="4F06E30E"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1.1%</w:t>
            </w:r>
          </w:p>
        </w:tc>
        <w:tc>
          <w:tcPr>
            <w:tcW w:w="2835" w:type="dxa"/>
            <w:vAlign w:val="center"/>
          </w:tcPr>
          <w:p w14:paraId="564161CB"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1.9%</w:t>
            </w:r>
          </w:p>
        </w:tc>
      </w:tr>
      <w:tr w:rsidR="00E641DF" w:rsidRPr="000C5B3E" w14:paraId="4EE1DB78" w14:textId="77777777" w:rsidTr="00CA4EFC">
        <w:tc>
          <w:tcPr>
            <w:tcW w:w="3510" w:type="dxa"/>
            <w:vAlign w:val="center"/>
          </w:tcPr>
          <w:p w14:paraId="42EEC775"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 xml:space="preserve">Theft/Robbery </w:t>
            </w:r>
          </w:p>
        </w:tc>
        <w:tc>
          <w:tcPr>
            <w:tcW w:w="2410" w:type="dxa"/>
            <w:vAlign w:val="center"/>
          </w:tcPr>
          <w:p w14:paraId="5D66AFBD"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1.7%</w:t>
            </w:r>
          </w:p>
        </w:tc>
        <w:tc>
          <w:tcPr>
            <w:tcW w:w="2835" w:type="dxa"/>
            <w:vAlign w:val="center"/>
          </w:tcPr>
          <w:p w14:paraId="4770D681"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 (1.9%)</w:t>
            </w:r>
          </w:p>
        </w:tc>
      </w:tr>
      <w:tr w:rsidR="00E641DF" w:rsidRPr="000C5B3E" w14:paraId="1C01275A" w14:textId="77777777" w:rsidTr="00CA4EFC">
        <w:tc>
          <w:tcPr>
            <w:tcW w:w="8755" w:type="dxa"/>
            <w:gridSpan w:val="3"/>
            <w:vAlign w:val="center"/>
          </w:tcPr>
          <w:p w14:paraId="49AD64CF" w14:textId="7B68B478"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val="en-US" w:eastAsia="tr-TR"/>
                <w14:ligatures w14:val="none"/>
              </w:rPr>
              <w:t>Perpetrator of Violence</w:t>
            </w:r>
          </w:p>
        </w:tc>
      </w:tr>
      <w:tr w:rsidR="00E641DF" w:rsidRPr="000C5B3E" w14:paraId="4517A22B" w14:textId="77777777" w:rsidTr="00CA4EFC">
        <w:tc>
          <w:tcPr>
            <w:tcW w:w="3510" w:type="dxa"/>
            <w:vAlign w:val="center"/>
          </w:tcPr>
          <w:p w14:paraId="734F6C7A"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Patient</w:t>
            </w:r>
          </w:p>
        </w:tc>
        <w:tc>
          <w:tcPr>
            <w:tcW w:w="2410" w:type="dxa"/>
            <w:vAlign w:val="center"/>
          </w:tcPr>
          <w:p w14:paraId="49017AC8"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65.3%</w:t>
            </w:r>
          </w:p>
        </w:tc>
        <w:tc>
          <w:tcPr>
            <w:tcW w:w="2835" w:type="dxa"/>
            <w:vAlign w:val="center"/>
          </w:tcPr>
          <w:p w14:paraId="58D02B3D"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48.1%</w:t>
            </w:r>
          </w:p>
        </w:tc>
      </w:tr>
      <w:tr w:rsidR="00E641DF" w:rsidRPr="000C5B3E" w14:paraId="72208828" w14:textId="77777777" w:rsidTr="00CA4EFC">
        <w:tc>
          <w:tcPr>
            <w:tcW w:w="3510" w:type="dxa"/>
            <w:vAlign w:val="center"/>
          </w:tcPr>
          <w:p w14:paraId="36B531C0"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Patient’s Relative</w:t>
            </w:r>
          </w:p>
        </w:tc>
        <w:tc>
          <w:tcPr>
            <w:tcW w:w="2410" w:type="dxa"/>
            <w:vAlign w:val="center"/>
          </w:tcPr>
          <w:p w14:paraId="60425C54"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29.7%</w:t>
            </w:r>
          </w:p>
        </w:tc>
        <w:tc>
          <w:tcPr>
            <w:tcW w:w="2835" w:type="dxa"/>
            <w:vAlign w:val="center"/>
          </w:tcPr>
          <w:p w14:paraId="6CDCEA97"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42.3%</w:t>
            </w:r>
          </w:p>
        </w:tc>
      </w:tr>
      <w:tr w:rsidR="00E641DF" w:rsidRPr="000C5B3E" w14:paraId="62ACDB5D" w14:textId="77777777" w:rsidTr="00CA4EFC">
        <w:tc>
          <w:tcPr>
            <w:tcW w:w="3510" w:type="dxa"/>
            <w:vAlign w:val="center"/>
          </w:tcPr>
          <w:p w14:paraId="6514568C"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Customer</w:t>
            </w:r>
          </w:p>
        </w:tc>
        <w:tc>
          <w:tcPr>
            <w:tcW w:w="2410" w:type="dxa"/>
            <w:vAlign w:val="center"/>
          </w:tcPr>
          <w:p w14:paraId="584927FA"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5.0%</w:t>
            </w:r>
          </w:p>
        </w:tc>
        <w:tc>
          <w:tcPr>
            <w:tcW w:w="2835" w:type="dxa"/>
            <w:vAlign w:val="center"/>
          </w:tcPr>
          <w:p w14:paraId="098F89F9"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9.6%</w:t>
            </w:r>
          </w:p>
        </w:tc>
      </w:tr>
      <w:tr w:rsidR="00E641DF" w:rsidRPr="000C5B3E" w14:paraId="6CD184A0" w14:textId="77777777" w:rsidTr="00CA4EFC">
        <w:tc>
          <w:tcPr>
            <w:tcW w:w="8755" w:type="dxa"/>
            <w:gridSpan w:val="3"/>
            <w:vAlign w:val="center"/>
          </w:tcPr>
          <w:p w14:paraId="1C686AAF" w14:textId="77777777"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val="en-US" w:eastAsia="tr-TR"/>
                <w14:ligatures w14:val="none"/>
              </w:rPr>
              <w:t>Timing of Violence Incidents*</w:t>
            </w:r>
            <w:r w:rsidRPr="000C5B3E">
              <w:rPr>
                <w:rFonts w:ascii="Times New Roman" w:eastAsia="Times New Roman" w:hAnsi="Times New Roman" w:cs="Times New Roman"/>
                <w:kern w:val="0"/>
                <w:sz w:val="24"/>
                <w:szCs w:val="24"/>
                <w:lang w:eastAsia="tr-TR"/>
                <w14:ligatures w14:val="none"/>
              </w:rPr>
              <w:t xml:space="preserve"> (</w:t>
            </w:r>
            <w:r w:rsidRPr="000C5B3E">
              <w:rPr>
                <w:rFonts w:ascii="Times New Roman" w:eastAsia="Times New Roman" w:hAnsi="Times New Roman" w:cs="Times New Roman"/>
                <w:kern w:val="0"/>
                <w:sz w:val="24"/>
                <w:szCs w:val="24"/>
                <w:lang w:val="en-US" w:eastAsia="tr-TR"/>
                <w14:ligatures w14:val="none"/>
              </w:rPr>
              <w:t>Multiple answers)</w:t>
            </w:r>
          </w:p>
        </w:tc>
      </w:tr>
      <w:tr w:rsidR="00E641DF" w:rsidRPr="000C5B3E" w14:paraId="2C9D515D" w14:textId="77777777" w:rsidTr="00CA4EFC">
        <w:tc>
          <w:tcPr>
            <w:tcW w:w="3510" w:type="dxa"/>
            <w:vAlign w:val="center"/>
          </w:tcPr>
          <w:p w14:paraId="3CD9F226"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During Daytime Working Hours</w:t>
            </w:r>
          </w:p>
        </w:tc>
        <w:tc>
          <w:tcPr>
            <w:tcW w:w="2410" w:type="dxa"/>
            <w:vAlign w:val="center"/>
          </w:tcPr>
          <w:p w14:paraId="102B77BF"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60.3%</w:t>
            </w:r>
          </w:p>
        </w:tc>
        <w:tc>
          <w:tcPr>
            <w:tcW w:w="2835" w:type="dxa"/>
            <w:vAlign w:val="center"/>
          </w:tcPr>
          <w:p w14:paraId="6E9D88FD"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76.5%</w:t>
            </w:r>
          </w:p>
        </w:tc>
      </w:tr>
      <w:tr w:rsidR="00E641DF" w:rsidRPr="000C5B3E" w14:paraId="23F1E9E3" w14:textId="77777777" w:rsidTr="00CA4EFC">
        <w:tc>
          <w:tcPr>
            <w:tcW w:w="3510" w:type="dxa"/>
            <w:vAlign w:val="center"/>
          </w:tcPr>
          <w:p w14:paraId="2A473594"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During Night Shifts</w:t>
            </w:r>
          </w:p>
        </w:tc>
        <w:tc>
          <w:tcPr>
            <w:tcW w:w="2410" w:type="dxa"/>
            <w:vAlign w:val="center"/>
          </w:tcPr>
          <w:p w14:paraId="08DF2B9C"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96.0%</w:t>
            </w:r>
          </w:p>
        </w:tc>
        <w:tc>
          <w:tcPr>
            <w:tcW w:w="2835" w:type="dxa"/>
            <w:vAlign w:val="center"/>
          </w:tcPr>
          <w:p w14:paraId="7498C607"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95.6%</w:t>
            </w:r>
          </w:p>
        </w:tc>
      </w:tr>
      <w:tr w:rsidR="00E641DF" w:rsidRPr="000C5B3E" w14:paraId="27603404" w14:textId="77777777" w:rsidTr="00CA4EFC">
        <w:tc>
          <w:tcPr>
            <w:tcW w:w="3510" w:type="dxa"/>
            <w:vAlign w:val="center"/>
          </w:tcPr>
          <w:p w14:paraId="12A6804F"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On Weekends and Holidays</w:t>
            </w:r>
          </w:p>
        </w:tc>
        <w:tc>
          <w:tcPr>
            <w:tcW w:w="2410" w:type="dxa"/>
            <w:vAlign w:val="center"/>
          </w:tcPr>
          <w:p w14:paraId="18951E2F"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63.8%</w:t>
            </w:r>
          </w:p>
        </w:tc>
        <w:tc>
          <w:tcPr>
            <w:tcW w:w="2835" w:type="dxa"/>
            <w:vAlign w:val="center"/>
          </w:tcPr>
          <w:p w14:paraId="2BB3AF7E"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88.2%</w:t>
            </w:r>
          </w:p>
        </w:tc>
      </w:tr>
    </w:tbl>
    <w:p w14:paraId="214809AB" w14:textId="7AE064BD" w:rsidR="000B6D63" w:rsidRPr="000C5B3E" w:rsidRDefault="000B6D63" w:rsidP="002A6F88">
      <w:pPr>
        <w:spacing w:after="0" w:line="480" w:lineRule="auto"/>
        <w:jc w:val="both"/>
        <w:rPr>
          <w:rFonts w:ascii="Times New Roman" w:eastAsia="Times New Roman" w:hAnsi="Times New Roman" w:cs="Times New Roman"/>
          <w:kern w:val="0"/>
          <w:sz w:val="24"/>
          <w:szCs w:val="24"/>
          <w:lang w:eastAsia="tr-TR"/>
          <w14:ligatures w14:val="none"/>
        </w:rPr>
      </w:pPr>
    </w:p>
    <w:p w14:paraId="0C4C1721" w14:textId="77777777" w:rsidR="00AC31F9" w:rsidRPr="000C5B3E" w:rsidRDefault="00AC31F9">
      <w:pPr>
        <w:rPr>
          <w:rFonts w:ascii="Times New Roman" w:eastAsia="Times New Roman" w:hAnsi="Times New Roman" w:cs="Times New Roman"/>
          <w:b/>
          <w:bCs/>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br w:type="page"/>
      </w:r>
    </w:p>
    <w:p w14:paraId="63A7BBF6" w14:textId="08A3BB10"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lastRenderedPageBreak/>
        <w:t xml:space="preserve">Table 2. </w:t>
      </w:r>
      <w:r w:rsidRPr="000C5B3E">
        <w:rPr>
          <w:rFonts w:ascii="Times New Roman" w:eastAsia="Times New Roman" w:hAnsi="Times New Roman" w:cs="Times New Roman"/>
          <w:kern w:val="0"/>
          <w:sz w:val="24"/>
          <w:szCs w:val="24"/>
          <w:lang w:eastAsia="tr-TR"/>
          <w14:ligatures w14:val="none"/>
        </w:rPr>
        <w:t>Common contributing factors to violence</w:t>
      </w:r>
    </w:p>
    <w:tbl>
      <w:tblPr>
        <w:tblStyle w:val="TabloKlavuzu"/>
        <w:tblW w:w="0" w:type="auto"/>
        <w:tblLayout w:type="fixed"/>
        <w:tblLook w:val="04A0" w:firstRow="1" w:lastRow="0" w:firstColumn="1" w:lastColumn="0" w:noHBand="0" w:noVBand="1"/>
      </w:tblPr>
      <w:tblGrid>
        <w:gridCol w:w="3369"/>
        <w:gridCol w:w="2693"/>
        <w:gridCol w:w="2551"/>
      </w:tblGrid>
      <w:tr w:rsidR="00E641DF" w:rsidRPr="000C5B3E" w14:paraId="46366BE0" w14:textId="77777777" w:rsidTr="00CA4EFC">
        <w:tc>
          <w:tcPr>
            <w:tcW w:w="3369" w:type="dxa"/>
            <w:vAlign w:val="center"/>
          </w:tcPr>
          <w:p w14:paraId="36922517" w14:textId="77777777"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b/>
                <w:bCs/>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Characteristics</w:t>
            </w:r>
          </w:p>
        </w:tc>
        <w:tc>
          <w:tcPr>
            <w:tcW w:w="2693" w:type="dxa"/>
            <w:vAlign w:val="center"/>
          </w:tcPr>
          <w:p w14:paraId="1FA5ADD6" w14:textId="77777777"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b/>
                <w:bCs/>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Pharmacists</w:t>
            </w:r>
          </w:p>
          <w:p w14:paraId="320AB359" w14:textId="77777777"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b/>
                <w:bCs/>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n (%)</w:t>
            </w:r>
          </w:p>
        </w:tc>
        <w:tc>
          <w:tcPr>
            <w:tcW w:w="2551" w:type="dxa"/>
            <w:vAlign w:val="center"/>
          </w:tcPr>
          <w:p w14:paraId="5F8F378B" w14:textId="77777777"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b/>
                <w:bCs/>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Pharmacy Technicians</w:t>
            </w:r>
          </w:p>
          <w:p w14:paraId="1452C403" w14:textId="77777777" w:rsidR="00E641DF" w:rsidRPr="000C5B3E" w:rsidRDefault="00E641DF" w:rsidP="00A255D4">
            <w:pPr>
              <w:spacing w:before="100" w:beforeAutospacing="1" w:after="100" w:afterAutospacing="1" w:line="480" w:lineRule="auto"/>
              <w:jc w:val="center"/>
              <w:rPr>
                <w:rFonts w:ascii="Times New Roman" w:eastAsia="Times New Roman" w:hAnsi="Times New Roman" w:cs="Times New Roman"/>
                <w:b/>
                <w:bCs/>
                <w:kern w:val="0"/>
                <w:sz w:val="24"/>
                <w:szCs w:val="24"/>
                <w:lang w:val="en-US" w:eastAsia="tr-TR"/>
                <w14:ligatures w14:val="none"/>
              </w:rPr>
            </w:pPr>
            <w:r w:rsidRPr="000C5B3E">
              <w:rPr>
                <w:rFonts w:ascii="Times New Roman" w:eastAsia="Times New Roman" w:hAnsi="Times New Roman" w:cs="Times New Roman"/>
                <w:b/>
                <w:bCs/>
                <w:kern w:val="0"/>
                <w:sz w:val="24"/>
                <w:szCs w:val="24"/>
                <w:lang w:val="en-US" w:eastAsia="tr-TR"/>
                <w14:ligatures w14:val="none"/>
              </w:rPr>
              <w:t>n (%)</w:t>
            </w:r>
          </w:p>
        </w:tc>
      </w:tr>
      <w:tr w:rsidR="00E641DF" w:rsidRPr="000C5B3E" w14:paraId="7EE6EC50" w14:textId="77777777" w:rsidTr="00CA4EFC">
        <w:tc>
          <w:tcPr>
            <w:tcW w:w="3369" w:type="dxa"/>
            <w:vAlign w:val="center"/>
          </w:tcPr>
          <w:p w14:paraId="30D54079"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Easy Accessibility of Pharmacies</w:t>
            </w:r>
          </w:p>
        </w:tc>
        <w:tc>
          <w:tcPr>
            <w:tcW w:w="2693" w:type="dxa"/>
            <w:vAlign w:val="center"/>
          </w:tcPr>
          <w:p w14:paraId="00174278"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139 (79.9%)</w:t>
            </w:r>
          </w:p>
        </w:tc>
        <w:tc>
          <w:tcPr>
            <w:tcW w:w="2551" w:type="dxa"/>
            <w:vAlign w:val="center"/>
          </w:tcPr>
          <w:p w14:paraId="175DA746"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61 (89.7%)</w:t>
            </w:r>
          </w:p>
        </w:tc>
      </w:tr>
      <w:tr w:rsidR="00E641DF" w:rsidRPr="000C5B3E" w14:paraId="33F29F0C" w14:textId="77777777" w:rsidTr="00CA4EFC">
        <w:tc>
          <w:tcPr>
            <w:tcW w:w="3369" w:type="dxa"/>
            <w:vAlign w:val="center"/>
          </w:tcPr>
          <w:p w14:paraId="7C04B648"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Rising Violence in Society</w:t>
            </w:r>
          </w:p>
        </w:tc>
        <w:tc>
          <w:tcPr>
            <w:tcW w:w="2693" w:type="dxa"/>
            <w:vAlign w:val="center"/>
          </w:tcPr>
          <w:p w14:paraId="5BD1F4A5"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166 (95.4%)</w:t>
            </w:r>
          </w:p>
        </w:tc>
        <w:tc>
          <w:tcPr>
            <w:tcW w:w="2551" w:type="dxa"/>
            <w:vAlign w:val="center"/>
          </w:tcPr>
          <w:p w14:paraId="20A34DF6"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66 (97.1%)</w:t>
            </w:r>
          </w:p>
        </w:tc>
      </w:tr>
      <w:tr w:rsidR="00E641DF" w:rsidRPr="000C5B3E" w14:paraId="599AD577" w14:textId="77777777" w:rsidTr="00CA4EFC">
        <w:tc>
          <w:tcPr>
            <w:tcW w:w="3369" w:type="dxa"/>
            <w:vAlign w:val="center"/>
          </w:tcPr>
          <w:p w14:paraId="7DCC708A"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Substance Abuse of Perpetrators</w:t>
            </w:r>
          </w:p>
        </w:tc>
        <w:tc>
          <w:tcPr>
            <w:tcW w:w="2693" w:type="dxa"/>
            <w:vAlign w:val="center"/>
          </w:tcPr>
          <w:p w14:paraId="27064E87"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119 (68.4%)</w:t>
            </w:r>
          </w:p>
        </w:tc>
        <w:tc>
          <w:tcPr>
            <w:tcW w:w="2551" w:type="dxa"/>
            <w:vAlign w:val="center"/>
          </w:tcPr>
          <w:p w14:paraId="37FF5634"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61 (89.7%)</w:t>
            </w:r>
          </w:p>
        </w:tc>
      </w:tr>
      <w:tr w:rsidR="00E641DF" w:rsidRPr="000C5B3E" w14:paraId="40ABBE0E" w14:textId="77777777" w:rsidTr="00CA4EFC">
        <w:tc>
          <w:tcPr>
            <w:tcW w:w="3369" w:type="dxa"/>
            <w:vAlign w:val="center"/>
          </w:tcPr>
          <w:p w14:paraId="23FC2880"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Mental Health Issues of Perpetrators</w:t>
            </w:r>
          </w:p>
        </w:tc>
        <w:tc>
          <w:tcPr>
            <w:tcW w:w="2693" w:type="dxa"/>
            <w:vAlign w:val="center"/>
          </w:tcPr>
          <w:p w14:paraId="1BAA6A0E"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79 (45.4%)</w:t>
            </w:r>
          </w:p>
        </w:tc>
        <w:tc>
          <w:tcPr>
            <w:tcW w:w="2551" w:type="dxa"/>
            <w:vAlign w:val="center"/>
          </w:tcPr>
          <w:p w14:paraId="73B34D5C"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34 (50.0%)</w:t>
            </w:r>
          </w:p>
        </w:tc>
      </w:tr>
      <w:tr w:rsidR="00E641DF" w:rsidRPr="000C5B3E" w14:paraId="1E21E24C" w14:textId="77777777" w:rsidTr="00CA4EFC">
        <w:tc>
          <w:tcPr>
            <w:tcW w:w="3369" w:type="dxa"/>
            <w:vAlign w:val="center"/>
          </w:tcPr>
          <w:p w14:paraId="17A6EDD7"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Issues in the Healthcare System</w:t>
            </w:r>
          </w:p>
        </w:tc>
        <w:tc>
          <w:tcPr>
            <w:tcW w:w="2693" w:type="dxa"/>
            <w:vAlign w:val="center"/>
          </w:tcPr>
          <w:p w14:paraId="79FF00E8"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162 (93.1%)</w:t>
            </w:r>
          </w:p>
        </w:tc>
        <w:tc>
          <w:tcPr>
            <w:tcW w:w="2551" w:type="dxa"/>
            <w:vAlign w:val="center"/>
          </w:tcPr>
          <w:p w14:paraId="46D2C023"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67 (98.5%)</w:t>
            </w:r>
          </w:p>
        </w:tc>
      </w:tr>
      <w:tr w:rsidR="00E641DF" w:rsidRPr="000C5B3E" w14:paraId="5E849A98" w14:textId="77777777" w:rsidTr="00CA4EFC">
        <w:tc>
          <w:tcPr>
            <w:tcW w:w="3369" w:type="dxa"/>
            <w:vAlign w:val="center"/>
          </w:tcPr>
          <w:p w14:paraId="14F34073"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Economic Instability</w:t>
            </w:r>
          </w:p>
        </w:tc>
        <w:tc>
          <w:tcPr>
            <w:tcW w:w="2693" w:type="dxa"/>
            <w:vAlign w:val="center"/>
          </w:tcPr>
          <w:p w14:paraId="52FC3027"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151 (86.8%)</w:t>
            </w:r>
          </w:p>
        </w:tc>
        <w:tc>
          <w:tcPr>
            <w:tcW w:w="2551" w:type="dxa"/>
            <w:vAlign w:val="center"/>
          </w:tcPr>
          <w:p w14:paraId="2FD020BC"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66 (97.1%)</w:t>
            </w:r>
          </w:p>
        </w:tc>
      </w:tr>
      <w:tr w:rsidR="00E641DF" w:rsidRPr="000C5B3E" w14:paraId="4A967772" w14:textId="77777777" w:rsidTr="00CA4EFC">
        <w:tc>
          <w:tcPr>
            <w:tcW w:w="3369" w:type="dxa"/>
            <w:vAlign w:val="center"/>
          </w:tcPr>
          <w:p w14:paraId="202BB24E"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Lack of Consultation Services</w:t>
            </w:r>
          </w:p>
        </w:tc>
        <w:tc>
          <w:tcPr>
            <w:tcW w:w="2693" w:type="dxa"/>
            <w:vAlign w:val="center"/>
          </w:tcPr>
          <w:p w14:paraId="47642231"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33 (19.0%)</w:t>
            </w:r>
          </w:p>
        </w:tc>
        <w:tc>
          <w:tcPr>
            <w:tcW w:w="2551" w:type="dxa"/>
            <w:vAlign w:val="center"/>
          </w:tcPr>
          <w:p w14:paraId="6780930E" w14:textId="77777777" w:rsidR="00E641DF" w:rsidRPr="000C5B3E" w:rsidRDefault="00E641DF" w:rsidP="00A255D4">
            <w:pPr>
              <w:spacing w:before="100" w:beforeAutospacing="1" w:after="100" w:afterAutospacing="1" w:line="480" w:lineRule="auto"/>
              <w:jc w:val="both"/>
              <w:rPr>
                <w:rFonts w:ascii="Times New Roman" w:eastAsia="Times New Roman" w:hAnsi="Times New Roman" w:cs="Times New Roman"/>
                <w:kern w:val="0"/>
                <w:sz w:val="24"/>
                <w:szCs w:val="24"/>
                <w:lang w:val="en-US" w:eastAsia="tr-TR"/>
                <w14:ligatures w14:val="none"/>
              </w:rPr>
            </w:pPr>
            <w:r w:rsidRPr="000C5B3E">
              <w:rPr>
                <w:rFonts w:ascii="Times New Roman" w:eastAsia="Times New Roman" w:hAnsi="Times New Roman" w:cs="Times New Roman"/>
                <w:kern w:val="0"/>
                <w:sz w:val="24"/>
                <w:szCs w:val="24"/>
                <w:lang w:val="en-US" w:eastAsia="tr-TR"/>
                <w14:ligatures w14:val="none"/>
              </w:rPr>
              <w:t>27 (39.7%)</w:t>
            </w:r>
          </w:p>
        </w:tc>
      </w:tr>
    </w:tbl>
    <w:p w14:paraId="6C7BE436" w14:textId="613AC842" w:rsidR="000B6D63" w:rsidRPr="000C5B3E" w:rsidRDefault="000B6D63" w:rsidP="002A6F88">
      <w:pPr>
        <w:spacing w:after="0" w:line="480" w:lineRule="auto"/>
        <w:jc w:val="both"/>
        <w:rPr>
          <w:rFonts w:ascii="Times New Roman" w:eastAsia="Times New Roman" w:hAnsi="Times New Roman" w:cs="Times New Roman"/>
          <w:kern w:val="0"/>
          <w:sz w:val="24"/>
          <w:szCs w:val="24"/>
          <w:lang w:eastAsia="tr-TR"/>
          <w14:ligatures w14:val="none"/>
        </w:rPr>
      </w:pPr>
    </w:p>
    <w:p w14:paraId="67EEDB55"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t xml:space="preserve">Table 3. </w:t>
      </w:r>
      <w:r w:rsidRPr="000C5B3E">
        <w:rPr>
          <w:rFonts w:ascii="Times New Roman" w:eastAsia="Times New Roman" w:hAnsi="Times New Roman" w:cs="Times New Roman"/>
          <w:kern w:val="0"/>
          <w:sz w:val="24"/>
          <w:szCs w:val="24"/>
          <w:lang w:eastAsia="tr-TR"/>
          <w14:ligatures w14:val="none"/>
        </w:rPr>
        <w:t>DASS-21 scores of participants</w:t>
      </w:r>
    </w:p>
    <w:tbl>
      <w:tblPr>
        <w:tblStyle w:val="TabloKlavuzu2"/>
        <w:tblW w:w="0" w:type="auto"/>
        <w:tblLook w:val="04A0" w:firstRow="1" w:lastRow="0" w:firstColumn="1" w:lastColumn="0" w:noHBand="0" w:noVBand="1"/>
      </w:tblPr>
      <w:tblGrid>
        <w:gridCol w:w="1436"/>
        <w:gridCol w:w="1053"/>
        <w:gridCol w:w="1672"/>
        <w:gridCol w:w="1430"/>
        <w:gridCol w:w="1452"/>
        <w:gridCol w:w="1128"/>
        <w:gridCol w:w="756"/>
      </w:tblGrid>
      <w:tr w:rsidR="00AC31F9" w:rsidRPr="000C5B3E" w14:paraId="2AD5F86B" w14:textId="77777777" w:rsidTr="00CA4EFC">
        <w:tc>
          <w:tcPr>
            <w:tcW w:w="1436" w:type="dxa"/>
            <w:hideMark/>
          </w:tcPr>
          <w:p w14:paraId="5C5B3C5F" w14:textId="77777777" w:rsidR="00AC31F9" w:rsidRPr="000C5B3E" w:rsidRDefault="00AC31F9" w:rsidP="00A255D4">
            <w:pPr>
              <w:spacing w:line="480" w:lineRule="auto"/>
              <w:rPr>
                <w:rFonts w:ascii="Calibri" w:eastAsia="Calibri" w:hAnsi="Calibri" w:cs="Times New Roman"/>
              </w:rPr>
            </w:pPr>
          </w:p>
        </w:tc>
        <w:tc>
          <w:tcPr>
            <w:tcW w:w="2725" w:type="dxa"/>
            <w:gridSpan w:val="2"/>
            <w:hideMark/>
          </w:tcPr>
          <w:p w14:paraId="332801AC" w14:textId="77777777" w:rsidR="00AC31F9" w:rsidRPr="000C5B3E" w:rsidRDefault="00AC31F9" w:rsidP="00A255D4">
            <w:pPr>
              <w:spacing w:line="480" w:lineRule="auto"/>
              <w:jc w:val="both"/>
              <w:rPr>
                <w:rFonts w:ascii="Times New Roman" w:eastAsia="Calibri" w:hAnsi="Times New Roman" w:cs="Times New Roman"/>
                <w:b/>
                <w:bCs/>
                <w:sz w:val="24"/>
                <w:szCs w:val="24"/>
                <w:lang w:val="en-US"/>
              </w:rPr>
            </w:pPr>
            <w:r w:rsidRPr="000C5B3E">
              <w:rPr>
                <w:rFonts w:ascii="Times New Roman" w:eastAsia="Calibri" w:hAnsi="Times New Roman" w:cs="Times New Roman"/>
                <w:b/>
                <w:bCs/>
                <w:sz w:val="24"/>
                <w:szCs w:val="24"/>
                <w:lang w:val="en-US"/>
              </w:rPr>
              <w:t>Pharmacists</w:t>
            </w:r>
          </w:p>
        </w:tc>
        <w:tc>
          <w:tcPr>
            <w:tcW w:w="2882" w:type="dxa"/>
            <w:gridSpan w:val="2"/>
          </w:tcPr>
          <w:p w14:paraId="20D4F250" w14:textId="77777777" w:rsidR="00AC31F9" w:rsidRPr="000C5B3E" w:rsidRDefault="00AC31F9" w:rsidP="00A255D4">
            <w:pPr>
              <w:spacing w:line="480" w:lineRule="auto"/>
              <w:jc w:val="both"/>
              <w:rPr>
                <w:rFonts w:ascii="Times New Roman" w:eastAsia="Calibri" w:hAnsi="Times New Roman" w:cs="Times New Roman"/>
                <w:b/>
                <w:bCs/>
                <w:sz w:val="24"/>
                <w:szCs w:val="24"/>
                <w:lang w:val="en-US"/>
              </w:rPr>
            </w:pPr>
            <w:r w:rsidRPr="000C5B3E">
              <w:rPr>
                <w:rFonts w:ascii="Times New Roman" w:eastAsia="Calibri" w:hAnsi="Times New Roman" w:cs="Times New Roman"/>
                <w:b/>
                <w:bCs/>
                <w:sz w:val="24"/>
                <w:szCs w:val="24"/>
                <w:lang w:val="en-US"/>
              </w:rPr>
              <w:t>Pharmacy Technicians</w:t>
            </w:r>
          </w:p>
        </w:tc>
        <w:tc>
          <w:tcPr>
            <w:tcW w:w="1128" w:type="dxa"/>
            <w:vMerge w:val="restart"/>
            <w:hideMark/>
          </w:tcPr>
          <w:p w14:paraId="24609DD6" w14:textId="77777777" w:rsidR="00AC31F9" w:rsidRPr="000C5B3E" w:rsidRDefault="00AC31F9" w:rsidP="00A255D4">
            <w:pPr>
              <w:spacing w:line="480" w:lineRule="auto"/>
              <w:jc w:val="both"/>
              <w:rPr>
                <w:rFonts w:ascii="Times New Roman" w:eastAsia="Calibri" w:hAnsi="Times New Roman" w:cs="Times New Roman"/>
                <w:b/>
                <w:bCs/>
                <w:sz w:val="24"/>
                <w:szCs w:val="24"/>
                <w:lang w:val="en-US"/>
              </w:rPr>
            </w:pPr>
            <w:r w:rsidRPr="000C5B3E">
              <w:rPr>
                <w:rFonts w:ascii="Times New Roman" w:eastAsia="Calibri" w:hAnsi="Times New Roman" w:cs="Times New Roman"/>
                <w:b/>
                <w:bCs/>
                <w:sz w:val="24"/>
                <w:szCs w:val="24"/>
                <w:lang w:val="en-US"/>
              </w:rPr>
              <w:t>P Value</w:t>
            </w:r>
          </w:p>
        </w:tc>
        <w:tc>
          <w:tcPr>
            <w:tcW w:w="323" w:type="dxa"/>
            <w:vMerge w:val="restart"/>
          </w:tcPr>
          <w:p w14:paraId="2993EC1E" w14:textId="77777777" w:rsidR="00AC31F9" w:rsidRPr="000C5B3E" w:rsidRDefault="00AC31F9" w:rsidP="00A255D4">
            <w:pPr>
              <w:spacing w:line="480" w:lineRule="auto"/>
              <w:jc w:val="both"/>
              <w:rPr>
                <w:rFonts w:ascii="Times New Roman" w:eastAsia="Calibri" w:hAnsi="Times New Roman" w:cs="Times New Roman"/>
                <w:b/>
                <w:bCs/>
                <w:sz w:val="24"/>
                <w:szCs w:val="24"/>
                <w:lang w:val="en-US"/>
              </w:rPr>
            </w:pPr>
            <w:r w:rsidRPr="000C5B3E">
              <w:rPr>
                <w:rFonts w:ascii="Times New Roman" w:eastAsia="Calibri" w:hAnsi="Times New Roman" w:cs="Times New Roman"/>
                <w:b/>
                <w:bCs/>
                <w:sz w:val="24"/>
                <w:szCs w:val="24"/>
                <w:lang w:val="en-US"/>
              </w:rPr>
              <w:t>r</w:t>
            </w:r>
          </w:p>
        </w:tc>
      </w:tr>
      <w:tr w:rsidR="00AC31F9" w:rsidRPr="000C5B3E" w14:paraId="0754490D" w14:textId="77777777" w:rsidTr="00CA4EFC">
        <w:tc>
          <w:tcPr>
            <w:tcW w:w="1436" w:type="dxa"/>
            <w:hideMark/>
          </w:tcPr>
          <w:p w14:paraId="6DA7D937" w14:textId="77777777" w:rsidR="00AC31F9" w:rsidRPr="000C5B3E" w:rsidRDefault="00AC31F9" w:rsidP="00A255D4">
            <w:pPr>
              <w:spacing w:line="480" w:lineRule="auto"/>
              <w:rPr>
                <w:rFonts w:ascii="Calibri" w:eastAsia="Calibri" w:hAnsi="Calibri" w:cs="Times New Roman"/>
              </w:rPr>
            </w:pPr>
          </w:p>
        </w:tc>
        <w:tc>
          <w:tcPr>
            <w:tcW w:w="1053" w:type="dxa"/>
            <w:hideMark/>
          </w:tcPr>
          <w:p w14:paraId="5B450399"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Median</w:t>
            </w:r>
          </w:p>
        </w:tc>
        <w:tc>
          <w:tcPr>
            <w:tcW w:w="1672" w:type="dxa"/>
          </w:tcPr>
          <w:p w14:paraId="01A7DEBA"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Min-Max</w:t>
            </w:r>
          </w:p>
        </w:tc>
        <w:tc>
          <w:tcPr>
            <w:tcW w:w="1430" w:type="dxa"/>
          </w:tcPr>
          <w:p w14:paraId="20182664"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Median</w:t>
            </w:r>
          </w:p>
        </w:tc>
        <w:tc>
          <w:tcPr>
            <w:tcW w:w="1452" w:type="dxa"/>
            <w:hideMark/>
          </w:tcPr>
          <w:p w14:paraId="5985933C"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Min-Max</w:t>
            </w:r>
          </w:p>
        </w:tc>
        <w:tc>
          <w:tcPr>
            <w:tcW w:w="1128" w:type="dxa"/>
            <w:vMerge/>
          </w:tcPr>
          <w:p w14:paraId="746E4005"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p>
        </w:tc>
        <w:tc>
          <w:tcPr>
            <w:tcW w:w="323" w:type="dxa"/>
            <w:vMerge/>
          </w:tcPr>
          <w:p w14:paraId="449AF275"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p>
        </w:tc>
      </w:tr>
      <w:tr w:rsidR="00AC31F9" w:rsidRPr="000C5B3E" w14:paraId="2D1988AB" w14:textId="77777777" w:rsidTr="00CA4EFC">
        <w:tc>
          <w:tcPr>
            <w:tcW w:w="1436" w:type="dxa"/>
            <w:hideMark/>
          </w:tcPr>
          <w:p w14:paraId="47832355" w14:textId="77777777" w:rsidR="00AC31F9" w:rsidRPr="000C5B3E" w:rsidRDefault="00AC31F9" w:rsidP="00A255D4">
            <w:pPr>
              <w:spacing w:line="480" w:lineRule="auto"/>
              <w:jc w:val="both"/>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Depression</w:t>
            </w:r>
          </w:p>
        </w:tc>
        <w:tc>
          <w:tcPr>
            <w:tcW w:w="1053" w:type="dxa"/>
            <w:hideMark/>
          </w:tcPr>
          <w:p w14:paraId="0CEF42C8"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3.0</w:t>
            </w:r>
          </w:p>
        </w:tc>
        <w:tc>
          <w:tcPr>
            <w:tcW w:w="1672" w:type="dxa"/>
          </w:tcPr>
          <w:p w14:paraId="51E1B065"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0-8</w:t>
            </w:r>
          </w:p>
        </w:tc>
        <w:tc>
          <w:tcPr>
            <w:tcW w:w="1430" w:type="dxa"/>
          </w:tcPr>
          <w:p w14:paraId="5A39064E"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rPr>
              <w:t>3.0</w:t>
            </w:r>
          </w:p>
        </w:tc>
        <w:tc>
          <w:tcPr>
            <w:tcW w:w="1452" w:type="dxa"/>
            <w:hideMark/>
          </w:tcPr>
          <w:p w14:paraId="58B3C297"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0-8</w:t>
            </w:r>
          </w:p>
        </w:tc>
        <w:tc>
          <w:tcPr>
            <w:tcW w:w="1128" w:type="dxa"/>
            <w:hideMark/>
          </w:tcPr>
          <w:p w14:paraId="033CF60C"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rPr>
              <w:t>0.415</w:t>
            </w:r>
          </w:p>
        </w:tc>
        <w:tc>
          <w:tcPr>
            <w:tcW w:w="323" w:type="dxa"/>
          </w:tcPr>
          <w:p w14:paraId="54B7E002" w14:textId="77777777" w:rsidR="00AC31F9" w:rsidRPr="000C5B3E" w:rsidRDefault="00AC31F9" w:rsidP="00A255D4">
            <w:pPr>
              <w:spacing w:line="480" w:lineRule="auto"/>
              <w:jc w:val="center"/>
              <w:rPr>
                <w:rFonts w:ascii="Times New Roman" w:eastAsia="Calibri" w:hAnsi="Times New Roman" w:cs="Times New Roman"/>
                <w:sz w:val="24"/>
                <w:szCs w:val="24"/>
              </w:rPr>
            </w:pPr>
            <w:r w:rsidRPr="000C5B3E">
              <w:rPr>
                <w:rFonts w:ascii="Times New Roman" w:eastAsia="Calibri" w:hAnsi="Times New Roman" w:cs="Times New Roman"/>
                <w:sz w:val="24"/>
                <w:szCs w:val="24"/>
              </w:rPr>
              <w:t>0.052</w:t>
            </w:r>
          </w:p>
        </w:tc>
      </w:tr>
      <w:tr w:rsidR="00AC31F9" w:rsidRPr="000C5B3E" w14:paraId="6099F6C1" w14:textId="77777777" w:rsidTr="00CA4EFC">
        <w:tc>
          <w:tcPr>
            <w:tcW w:w="1436" w:type="dxa"/>
            <w:hideMark/>
          </w:tcPr>
          <w:p w14:paraId="479CCDBB" w14:textId="77777777" w:rsidR="00AC31F9" w:rsidRPr="000C5B3E" w:rsidRDefault="00AC31F9" w:rsidP="00A255D4">
            <w:pPr>
              <w:spacing w:line="480" w:lineRule="auto"/>
              <w:jc w:val="both"/>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Anxiety</w:t>
            </w:r>
          </w:p>
        </w:tc>
        <w:tc>
          <w:tcPr>
            <w:tcW w:w="1053" w:type="dxa"/>
            <w:hideMark/>
          </w:tcPr>
          <w:p w14:paraId="658D4EF4"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2.0</w:t>
            </w:r>
          </w:p>
        </w:tc>
        <w:tc>
          <w:tcPr>
            <w:tcW w:w="1672" w:type="dxa"/>
          </w:tcPr>
          <w:p w14:paraId="791AE68A"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0-7</w:t>
            </w:r>
          </w:p>
        </w:tc>
        <w:tc>
          <w:tcPr>
            <w:tcW w:w="1430" w:type="dxa"/>
          </w:tcPr>
          <w:p w14:paraId="180B3EA9"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rPr>
              <w:t>2.0</w:t>
            </w:r>
          </w:p>
        </w:tc>
        <w:tc>
          <w:tcPr>
            <w:tcW w:w="1452" w:type="dxa"/>
            <w:hideMark/>
          </w:tcPr>
          <w:p w14:paraId="026F9D0F"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0-7</w:t>
            </w:r>
          </w:p>
        </w:tc>
        <w:tc>
          <w:tcPr>
            <w:tcW w:w="1128" w:type="dxa"/>
            <w:hideMark/>
          </w:tcPr>
          <w:p w14:paraId="0EE8FCC1"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rPr>
              <w:t>0.042</w:t>
            </w:r>
          </w:p>
        </w:tc>
        <w:tc>
          <w:tcPr>
            <w:tcW w:w="323" w:type="dxa"/>
          </w:tcPr>
          <w:p w14:paraId="1B35235A" w14:textId="77777777" w:rsidR="00AC31F9" w:rsidRPr="000C5B3E" w:rsidRDefault="00AC31F9" w:rsidP="00A255D4">
            <w:pPr>
              <w:spacing w:line="480" w:lineRule="auto"/>
              <w:jc w:val="center"/>
              <w:rPr>
                <w:rFonts w:ascii="Times New Roman" w:eastAsia="Calibri" w:hAnsi="Times New Roman" w:cs="Times New Roman"/>
                <w:sz w:val="24"/>
                <w:szCs w:val="24"/>
              </w:rPr>
            </w:pPr>
            <w:r w:rsidRPr="000C5B3E">
              <w:rPr>
                <w:rFonts w:ascii="Times New Roman" w:eastAsia="Calibri" w:hAnsi="Times New Roman" w:cs="Times New Roman"/>
                <w:sz w:val="24"/>
                <w:szCs w:val="24"/>
              </w:rPr>
              <w:t>0.131</w:t>
            </w:r>
          </w:p>
        </w:tc>
      </w:tr>
      <w:tr w:rsidR="00AC31F9" w:rsidRPr="000C5B3E" w14:paraId="07ABDCEB" w14:textId="77777777" w:rsidTr="00CA4EFC">
        <w:tc>
          <w:tcPr>
            <w:tcW w:w="1436" w:type="dxa"/>
            <w:hideMark/>
          </w:tcPr>
          <w:p w14:paraId="0D9C39C3" w14:textId="77777777" w:rsidR="00AC31F9" w:rsidRPr="000C5B3E" w:rsidRDefault="00AC31F9" w:rsidP="00A255D4">
            <w:pPr>
              <w:spacing w:line="480" w:lineRule="auto"/>
              <w:jc w:val="both"/>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Stress</w:t>
            </w:r>
          </w:p>
        </w:tc>
        <w:tc>
          <w:tcPr>
            <w:tcW w:w="1053" w:type="dxa"/>
            <w:hideMark/>
          </w:tcPr>
          <w:p w14:paraId="3D6093AE"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4.0</w:t>
            </w:r>
          </w:p>
        </w:tc>
        <w:tc>
          <w:tcPr>
            <w:tcW w:w="1672" w:type="dxa"/>
          </w:tcPr>
          <w:p w14:paraId="3D0E49A3"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0-7</w:t>
            </w:r>
          </w:p>
        </w:tc>
        <w:tc>
          <w:tcPr>
            <w:tcW w:w="1430" w:type="dxa"/>
          </w:tcPr>
          <w:p w14:paraId="682BBA5E"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rPr>
              <w:t>4.5</w:t>
            </w:r>
          </w:p>
        </w:tc>
        <w:tc>
          <w:tcPr>
            <w:tcW w:w="1452" w:type="dxa"/>
            <w:hideMark/>
          </w:tcPr>
          <w:p w14:paraId="7099A547"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lang w:val="en-US"/>
              </w:rPr>
              <w:t>0-7</w:t>
            </w:r>
          </w:p>
        </w:tc>
        <w:tc>
          <w:tcPr>
            <w:tcW w:w="1128" w:type="dxa"/>
            <w:hideMark/>
          </w:tcPr>
          <w:p w14:paraId="51667BAB" w14:textId="77777777" w:rsidR="00AC31F9" w:rsidRPr="000C5B3E" w:rsidRDefault="00AC31F9" w:rsidP="00A255D4">
            <w:pPr>
              <w:spacing w:line="480" w:lineRule="auto"/>
              <w:jc w:val="center"/>
              <w:rPr>
                <w:rFonts w:ascii="Times New Roman" w:eastAsia="Calibri" w:hAnsi="Times New Roman" w:cs="Times New Roman"/>
                <w:sz w:val="24"/>
                <w:szCs w:val="24"/>
                <w:lang w:val="en-US"/>
              </w:rPr>
            </w:pPr>
            <w:r w:rsidRPr="000C5B3E">
              <w:rPr>
                <w:rFonts w:ascii="Times New Roman" w:eastAsia="Calibri" w:hAnsi="Times New Roman" w:cs="Times New Roman"/>
                <w:sz w:val="24"/>
                <w:szCs w:val="24"/>
              </w:rPr>
              <w:t>0.059</w:t>
            </w:r>
          </w:p>
        </w:tc>
        <w:tc>
          <w:tcPr>
            <w:tcW w:w="323" w:type="dxa"/>
          </w:tcPr>
          <w:p w14:paraId="63A33818" w14:textId="77777777" w:rsidR="00AC31F9" w:rsidRPr="000C5B3E" w:rsidRDefault="00AC31F9" w:rsidP="00A255D4">
            <w:pPr>
              <w:spacing w:line="480" w:lineRule="auto"/>
              <w:jc w:val="center"/>
              <w:rPr>
                <w:rFonts w:ascii="Times New Roman" w:eastAsia="Calibri" w:hAnsi="Times New Roman" w:cs="Times New Roman"/>
                <w:sz w:val="24"/>
                <w:szCs w:val="24"/>
              </w:rPr>
            </w:pPr>
            <w:r w:rsidRPr="000C5B3E">
              <w:rPr>
                <w:rFonts w:ascii="Times New Roman" w:eastAsia="Calibri" w:hAnsi="Times New Roman" w:cs="Times New Roman"/>
                <w:sz w:val="24"/>
                <w:szCs w:val="24"/>
              </w:rPr>
              <w:t>0.121</w:t>
            </w:r>
          </w:p>
        </w:tc>
      </w:tr>
    </w:tbl>
    <w:p w14:paraId="1DA157C4" w14:textId="7BF0EEF2" w:rsidR="00A255D4" w:rsidRPr="000C5B3E" w:rsidRDefault="00A255D4" w:rsidP="002A6F88">
      <w:pPr>
        <w:spacing w:after="0" w:line="480" w:lineRule="auto"/>
        <w:jc w:val="both"/>
        <w:rPr>
          <w:rFonts w:ascii="Times New Roman" w:eastAsia="Times New Roman" w:hAnsi="Times New Roman" w:cs="Times New Roman"/>
          <w:kern w:val="0"/>
          <w:sz w:val="24"/>
          <w:szCs w:val="24"/>
          <w:lang w:eastAsia="tr-TR"/>
          <w14:ligatures w14:val="none"/>
        </w:rPr>
      </w:pPr>
    </w:p>
    <w:p w14:paraId="6C545FED" w14:textId="0C8B72AF" w:rsidR="000B6D63" w:rsidRPr="000C5B3E" w:rsidRDefault="00A255D4" w:rsidP="00A255D4">
      <w:pPr>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br w:type="page"/>
      </w:r>
    </w:p>
    <w:p w14:paraId="51B0C9A0"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lastRenderedPageBreak/>
        <w:t xml:space="preserve">Table 4. </w:t>
      </w:r>
      <w:r w:rsidRPr="000C5B3E">
        <w:rPr>
          <w:rFonts w:ascii="Times New Roman" w:eastAsia="Times New Roman" w:hAnsi="Times New Roman" w:cs="Times New Roman"/>
          <w:kern w:val="0"/>
          <w:sz w:val="24"/>
          <w:szCs w:val="24"/>
          <w:lang w:eastAsia="tr-TR"/>
          <w14:ligatures w14:val="none"/>
        </w:rPr>
        <w:t>Characteristics of qualitative participants</w:t>
      </w:r>
    </w:p>
    <w:tbl>
      <w:tblPr>
        <w:tblStyle w:val="TabloKlavuzu1"/>
        <w:tblW w:w="0" w:type="auto"/>
        <w:tblLook w:val="04A0" w:firstRow="1" w:lastRow="0" w:firstColumn="1" w:lastColumn="0" w:noHBand="0" w:noVBand="1"/>
      </w:tblPr>
      <w:tblGrid>
        <w:gridCol w:w="1532"/>
        <w:gridCol w:w="616"/>
        <w:gridCol w:w="990"/>
        <w:gridCol w:w="1222"/>
        <w:gridCol w:w="2162"/>
        <w:gridCol w:w="2540"/>
      </w:tblGrid>
      <w:tr w:rsidR="00AC31F9" w:rsidRPr="000C5B3E" w14:paraId="0C08D4F9" w14:textId="77777777" w:rsidTr="00CA4EFC">
        <w:tc>
          <w:tcPr>
            <w:tcW w:w="0" w:type="auto"/>
            <w:hideMark/>
          </w:tcPr>
          <w:p w14:paraId="7E54E993" w14:textId="77777777" w:rsidR="00AC31F9" w:rsidRPr="000C5B3E" w:rsidRDefault="00AC31F9" w:rsidP="00A255D4">
            <w:pPr>
              <w:spacing w:line="480" w:lineRule="auto"/>
              <w:jc w:val="both"/>
              <w:rPr>
                <w:rFonts w:ascii="Times New Roman" w:eastAsia="Calibri" w:hAnsi="Times New Roman" w:cs="Times New Roman"/>
                <w:b/>
                <w:bCs/>
                <w:kern w:val="0"/>
                <w:sz w:val="24"/>
                <w:szCs w:val="24"/>
                <w:lang w:val="en-US"/>
                <w14:ligatures w14:val="none"/>
              </w:rPr>
            </w:pPr>
            <w:r w:rsidRPr="000C5B3E">
              <w:rPr>
                <w:rFonts w:ascii="Times New Roman" w:eastAsia="Calibri" w:hAnsi="Times New Roman" w:cs="Times New Roman"/>
                <w:b/>
                <w:bCs/>
                <w:kern w:val="0"/>
                <w:sz w:val="24"/>
                <w:szCs w:val="24"/>
                <w:lang w:val="en-US"/>
                <w14:ligatures w14:val="none"/>
              </w:rPr>
              <w:t>Participant No</w:t>
            </w:r>
          </w:p>
        </w:tc>
        <w:tc>
          <w:tcPr>
            <w:tcW w:w="0" w:type="auto"/>
            <w:hideMark/>
          </w:tcPr>
          <w:p w14:paraId="1A91A21E" w14:textId="77777777" w:rsidR="00AC31F9" w:rsidRPr="000C5B3E" w:rsidRDefault="00AC31F9" w:rsidP="00A255D4">
            <w:pPr>
              <w:spacing w:line="480" w:lineRule="auto"/>
              <w:jc w:val="center"/>
              <w:rPr>
                <w:rFonts w:ascii="Times New Roman" w:eastAsia="Calibri" w:hAnsi="Times New Roman" w:cs="Times New Roman"/>
                <w:b/>
                <w:bCs/>
                <w:kern w:val="0"/>
                <w:sz w:val="24"/>
                <w:szCs w:val="24"/>
                <w:lang w:val="en-US"/>
                <w14:ligatures w14:val="none"/>
              </w:rPr>
            </w:pPr>
            <w:r w:rsidRPr="000C5B3E">
              <w:rPr>
                <w:rFonts w:ascii="Times New Roman" w:eastAsia="Calibri" w:hAnsi="Times New Roman" w:cs="Times New Roman"/>
                <w:b/>
                <w:bCs/>
                <w:kern w:val="0"/>
                <w:sz w:val="24"/>
                <w:szCs w:val="24"/>
                <w:lang w:val="en-US"/>
                <w14:ligatures w14:val="none"/>
              </w:rPr>
              <w:t>Age</w:t>
            </w:r>
          </w:p>
        </w:tc>
        <w:tc>
          <w:tcPr>
            <w:tcW w:w="0" w:type="auto"/>
            <w:hideMark/>
          </w:tcPr>
          <w:p w14:paraId="60051A29" w14:textId="77777777" w:rsidR="00AC31F9" w:rsidRPr="000C5B3E" w:rsidRDefault="00AC31F9" w:rsidP="00A255D4">
            <w:pPr>
              <w:spacing w:line="480" w:lineRule="auto"/>
              <w:jc w:val="both"/>
              <w:rPr>
                <w:rFonts w:ascii="Times New Roman" w:eastAsia="Calibri" w:hAnsi="Times New Roman" w:cs="Times New Roman"/>
                <w:b/>
                <w:bCs/>
                <w:kern w:val="0"/>
                <w:sz w:val="24"/>
                <w:szCs w:val="24"/>
                <w:lang w:val="en-US"/>
                <w14:ligatures w14:val="none"/>
              </w:rPr>
            </w:pPr>
            <w:r w:rsidRPr="000C5B3E">
              <w:rPr>
                <w:rFonts w:ascii="Times New Roman" w:eastAsia="Calibri" w:hAnsi="Times New Roman" w:cs="Times New Roman"/>
                <w:b/>
                <w:bCs/>
                <w:kern w:val="0"/>
                <w:sz w:val="24"/>
                <w:szCs w:val="24"/>
                <w:lang w:val="en-US"/>
                <w14:ligatures w14:val="none"/>
              </w:rPr>
              <w:t>Gender</w:t>
            </w:r>
          </w:p>
        </w:tc>
        <w:tc>
          <w:tcPr>
            <w:tcW w:w="0" w:type="auto"/>
            <w:hideMark/>
          </w:tcPr>
          <w:p w14:paraId="3EC978C0" w14:textId="77777777" w:rsidR="00AC31F9" w:rsidRPr="000C5B3E" w:rsidRDefault="00AC31F9" w:rsidP="00A255D4">
            <w:pPr>
              <w:spacing w:line="480" w:lineRule="auto"/>
              <w:jc w:val="center"/>
              <w:rPr>
                <w:rFonts w:ascii="Times New Roman" w:eastAsia="Calibri" w:hAnsi="Times New Roman" w:cs="Times New Roman"/>
                <w:b/>
                <w:bCs/>
                <w:kern w:val="0"/>
                <w:sz w:val="24"/>
                <w:szCs w:val="24"/>
                <w:lang w:val="en-US"/>
                <w14:ligatures w14:val="none"/>
              </w:rPr>
            </w:pPr>
            <w:r w:rsidRPr="000C5B3E">
              <w:rPr>
                <w:rFonts w:ascii="Times New Roman" w:eastAsia="Calibri" w:hAnsi="Times New Roman" w:cs="Times New Roman"/>
                <w:b/>
                <w:bCs/>
                <w:kern w:val="0"/>
                <w:sz w:val="24"/>
                <w:szCs w:val="24"/>
                <w:lang w:val="en-US"/>
                <w14:ligatures w14:val="none"/>
              </w:rPr>
              <w:t>Years of Work</w:t>
            </w:r>
          </w:p>
        </w:tc>
        <w:tc>
          <w:tcPr>
            <w:tcW w:w="0" w:type="auto"/>
            <w:hideMark/>
          </w:tcPr>
          <w:p w14:paraId="522A4021" w14:textId="77777777" w:rsidR="00AC31F9" w:rsidRPr="000C5B3E" w:rsidRDefault="00AC31F9" w:rsidP="00A255D4">
            <w:pPr>
              <w:spacing w:line="480" w:lineRule="auto"/>
              <w:jc w:val="both"/>
              <w:rPr>
                <w:rFonts w:ascii="Times New Roman" w:eastAsia="Calibri" w:hAnsi="Times New Roman" w:cs="Times New Roman"/>
                <w:b/>
                <w:bCs/>
                <w:kern w:val="0"/>
                <w:sz w:val="24"/>
                <w:szCs w:val="24"/>
                <w:lang w:val="en-US"/>
                <w14:ligatures w14:val="none"/>
              </w:rPr>
            </w:pPr>
            <w:r w:rsidRPr="000C5B3E">
              <w:rPr>
                <w:rFonts w:ascii="Times New Roman" w:eastAsia="Calibri" w:hAnsi="Times New Roman" w:cs="Times New Roman"/>
                <w:b/>
                <w:bCs/>
                <w:kern w:val="0"/>
                <w:sz w:val="24"/>
                <w:szCs w:val="24"/>
                <w:lang w:val="en-US"/>
                <w14:ligatures w14:val="none"/>
              </w:rPr>
              <w:t>Pharmacy Location</w:t>
            </w:r>
          </w:p>
        </w:tc>
        <w:tc>
          <w:tcPr>
            <w:tcW w:w="0" w:type="auto"/>
            <w:hideMark/>
          </w:tcPr>
          <w:p w14:paraId="39EB1EC9" w14:textId="77777777" w:rsidR="00AC31F9" w:rsidRPr="000C5B3E" w:rsidRDefault="00AC31F9" w:rsidP="00A255D4">
            <w:pPr>
              <w:spacing w:line="480" w:lineRule="auto"/>
              <w:jc w:val="both"/>
              <w:rPr>
                <w:rFonts w:ascii="Times New Roman" w:eastAsia="Calibri" w:hAnsi="Times New Roman" w:cs="Times New Roman"/>
                <w:b/>
                <w:bCs/>
                <w:kern w:val="0"/>
                <w:sz w:val="24"/>
                <w:szCs w:val="24"/>
                <w:lang w:val="en-US"/>
                <w14:ligatures w14:val="none"/>
              </w:rPr>
            </w:pPr>
            <w:r w:rsidRPr="000C5B3E">
              <w:rPr>
                <w:rFonts w:ascii="Times New Roman" w:eastAsia="Calibri" w:hAnsi="Times New Roman" w:cs="Times New Roman"/>
                <w:b/>
                <w:bCs/>
                <w:kern w:val="0"/>
                <w:sz w:val="24"/>
                <w:szCs w:val="24"/>
                <w:lang w:val="en-US"/>
                <w14:ligatures w14:val="none"/>
              </w:rPr>
              <w:t>Experience of Violence</w:t>
            </w:r>
          </w:p>
        </w:tc>
      </w:tr>
      <w:tr w:rsidR="00AC31F9" w:rsidRPr="000C5B3E" w14:paraId="095B2F9B" w14:textId="77777777" w:rsidTr="00CA4EFC">
        <w:tc>
          <w:tcPr>
            <w:tcW w:w="0" w:type="auto"/>
            <w:hideMark/>
          </w:tcPr>
          <w:p w14:paraId="49DF00AA"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P1</w:t>
            </w:r>
          </w:p>
        </w:tc>
        <w:tc>
          <w:tcPr>
            <w:tcW w:w="0" w:type="auto"/>
            <w:hideMark/>
          </w:tcPr>
          <w:p w14:paraId="0B295A0B"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54</w:t>
            </w:r>
          </w:p>
        </w:tc>
        <w:tc>
          <w:tcPr>
            <w:tcW w:w="0" w:type="auto"/>
            <w:hideMark/>
          </w:tcPr>
          <w:p w14:paraId="4C701B22"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Female</w:t>
            </w:r>
          </w:p>
        </w:tc>
        <w:tc>
          <w:tcPr>
            <w:tcW w:w="0" w:type="auto"/>
            <w:hideMark/>
          </w:tcPr>
          <w:p w14:paraId="03CDB79B"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31</w:t>
            </w:r>
          </w:p>
        </w:tc>
        <w:tc>
          <w:tcPr>
            <w:tcW w:w="0" w:type="auto"/>
            <w:hideMark/>
          </w:tcPr>
          <w:p w14:paraId="06095708"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On the street</w:t>
            </w:r>
          </w:p>
        </w:tc>
        <w:tc>
          <w:tcPr>
            <w:tcW w:w="0" w:type="auto"/>
            <w:hideMark/>
          </w:tcPr>
          <w:p w14:paraId="2F5C7758"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 physical, sexual, robbery/theft</w:t>
            </w:r>
          </w:p>
        </w:tc>
      </w:tr>
      <w:tr w:rsidR="00AC31F9" w:rsidRPr="000C5B3E" w14:paraId="5CD48A26" w14:textId="77777777" w:rsidTr="00CA4EFC">
        <w:tc>
          <w:tcPr>
            <w:tcW w:w="0" w:type="auto"/>
            <w:hideMark/>
          </w:tcPr>
          <w:p w14:paraId="0A3E0F79"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P2</w:t>
            </w:r>
          </w:p>
        </w:tc>
        <w:tc>
          <w:tcPr>
            <w:tcW w:w="0" w:type="auto"/>
            <w:hideMark/>
          </w:tcPr>
          <w:p w14:paraId="09E45759"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36</w:t>
            </w:r>
          </w:p>
        </w:tc>
        <w:tc>
          <w:tcPr>
            <w:tcW w:w="0" w:type="auto"/>
            <w:hideMark/>
          </w:tcPr>
          <w:p w14:paraId="17F7A243"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Male</w:t>
            </w:r>
          </w:p>
        </w:tc>
        <w:tc>
          <w:tcPr>
            <w:tcW w:w="0" w:type="auto"/>
            <w:hideMark/>
          </w:tcPr>
          <w:p w14:paraId="1218AF45"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13</w:t>
            </w:r>
          </w:p>
        </w:tc>
        <w:tc>
          <w:tcPr>
            <w:tcW w:w="0" w:type="auto"/>
            <w:hideMark/>
          </w:tcPr>
          <w:p w14:paraId="5808B61E"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On the street</w:t>
            </w:r>
          </w:p>
        </w:tc>
        <w:tc>
          <w:tcPr>
            <w:tcW w:w="0" w:type="auto"/>
            <w:hideMark/>
          </w:tcPr>
          <w:p w14:paraId="613F84BF"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w:t>
            </w:r>
          </w:p>
        </w:tc>
      </w:tr>
      <w:tr w:rsidR="00AC31F9" w:rsidRPr="000C5B3E" w14:paraId="204D65F7" w14:textId="77777777" w:rsidTr="00CA4EFC">
        <w:tc>
          <w:tcPr>
            <w:tcW w:w="0" w:type="auto"/>
            <w:hideMark/>
          </w:tcPr>
          <w:p w14:paraId="60C4A9D2"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P3</w:t>
            </w:r>
          </w:p>
        </w:tc>
        <w:tc>
          <w:tcPr>
            <w:tcW w:w="0" w:type="auto"/>
            <w:hideMark/>
          </w:tcPr>
          <w:p w14:paraId="73B3CB35"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29</w:t>
            </w:r>
          </w:p>
        </w:tc>
        <w:tc>
          <w:tcPr>
            <w:tcW w:w="0" w:type="auto"/>
            <w:hideMark/>
          </w:tcPr>
          <w:p w14:paraId="53879C00"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Female</w:t>
            </w:r>
          </w:p>
        </w:tc>
        <w:tc>
          <w:tcPr>
            <w:tcW w:w="0" w:type="auto"/>
            <w:hideMark/>
          </w:tcPr>
          <w:p w14:paraId="14788DA2"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w:t>
            </w:r>
          </w:p>
        </w:tc>
        <w:tc>
          <w:tcPr>
            <w:tcW w:w="0" w:type="auto"/>
            <w:hideMark/>
          </w:tcPr>
          <w:p w14:paraId="6FDE4D53"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On the street</w:t>
            </w:r>
          </w:p>
        </w:tc>
        <w:tc>
          <w:tcPr>
            <w:tcW w:w="0" w:type="auto"/>
            <w:hideMark/>
          </w:tcPr>
          <w:p w14:paraId="3E496250"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None</w:t>
            </w:r>
          </w:p>
        </w:tc>
      </w:tr>
      <w:tr w:rsidR="00AC31F9" w:rsidRPr="000C5B3E" w14:paraId="77F78478" w14:textId="77777777" w:rsidTr="00CA4EFC">
        <w:tc>
          <w:tcPr>
            <w:tcW w:w="0" w:type="auto"/>
            <w:hideMark/>
          </w:tcPr>
          <w:p w14:paraId="544D7278"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P4</w:t>
            </w:r>
          </w:p>
        </w:tc>
        <w:tc>
          <w:tcPr>
            <w:tcW w:w="0" w:type="auto"/>
            <w:hideMark/>
          </w:tcPr>
          <w:p w14:paraId="3A2D5935"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43</w:t>
            </w:r>
          </w:p>
        </w:tc>
        <w:tc>
          <w:tcPr>
            <w:tcW w:w="0" w:type="auto"/>
            <w:hideMark/>
          </w:tcPr>
          <w:p w14:paraId="78C42A81"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Female</w:t>
            </w:r>
          </w:p>
        </w:tc>
        <w:tc>
          <w:tcPr>
            <w:tcW w:w="0" w:type="auto"/>
            <w:hideMark/>
          </w:tcPr>
          <w:p w14:paraId="189F986B"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17</w:t>
            </w:r>
          </w:p>
        </w:tc>
        <w:tc>
          <w:tcPr>
            <w:tcW w:w="0" w:type="auto"/>
            <w:hideMark/>
          </w:tcPr>
          <w:p w14:paraId="3DA6F698"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Across from a hospital</w:t>
            </w:r>
          </w:p>
        </w:tc>
        <w:tc>
          <w:tcPr>
            <w:tcW w:w="0" w:type="auto"/>
            <w:hideMark/>
          </w:tcPr>
          <w:p w14:paraId="494F0820"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w:t>
            </w:r>
          </w:p>
        </w:tc>
      </w:tr>
      <w:tr w:rsidR="00AC31F9" w:rsidRPr="000C5B3E" w14:paraId="4BCCDF85" w14:textId="77777777" w:rsidTr="00CA4EFC">
        <w:tc>
          <w:tcPr>
            <w:tcW w:w="0" w:type="auto"/>
            <w:hideMark/>
          </w:tcPr>
          <w:p w14:paraId="6DA1EF6B"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P5</w:t>
            </w:r>
          </w:p>
        </w:tc>
        <w:tc>
          <w:tcPr>
            <w:tcW w:w="0" w:type="auto"/>
            <w:hideMark/>
          </w:tcPr>
          <w:p w14:paraId="786AD793"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36</w:t>
            </w:r>
          </w:p>
        </w:tc>
        <w:tc>
          <w:tcPr>
            <w:tcW w:w="0" w:type="auto"/>
            <w:hideMark/>
          </w:tcPr>
          <w:p w14:paraId="35DD1E69"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Female</w:t>
            </w:r>
          </w:p>
        </w:tc>
        <w:tc>
          <w:tcPr>
            <w:tcW w:w="0" w:type="auto"/>
            <w:hideMark/>
          </w:tcPr>
          <w:p w14:paraId="7EE46D4B"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9</w:t>
            </w:r>
          </w:p>
        </w:tc>
        <w:tc>
          <w:tcPr>
            <w:tcW w:w="0" w:type="auto"/>
            <w:hideMark/>
          </w:tcPr>
          <w:p w14:paraId="1C41DD92"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On the street</w:t>
            </w:r>
          </w:p>
        </w:tc>
        <w:tc>
          <w:tcPr>
            <w:tcW w:w="0" w:type="auto"/>
            <w:hideMark/>
          </w:tcPr>
          <w:p w14:paraId="25DDDF51"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w:t>
            </w:r>
          </w:p>
        </w:tc>
      </w:tr>
      <w:tr w:rsidR="00AC31F9" w:rsidRPr="000C5B3E" w14:paraId="3C604FDE" w14:textId="77777777" w:rsidTr="00CA4EFC">
        <w:tc>
          <w:tcPr>
            <w:tcW w:w="0" w:type="auto"/>
            <w:hideMark/>
          </w:tcPr>
          <w:p w14:paraId="0DA7DAE5"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P6</w:t>
            </w:r>
          </w:p>
        </w:tc>
        <w:tc>
          <w:tcPr>
            <w:tcW w:w="0" w:type="auto"/>
            <w:hideMark/>
          </w:tcPr>
          <w:p w14:paraId="7B85340B"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38</w:t>
            </w:r>
          </w:p>
        </w:tc>
        <w:tc>
          <w:tcPr>
            <w:tcW w:w="0" w:type="auto"/>
            <w:hideMark/>
          </w:tcPr>
          <w:p w14:paraId="402A7452"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Female</w:t>
            </w:r>
          </w:p>
        </w:tc>
        <w:tc>
          <w:tcPr>
            <w:tcW w:w="0" w:type="auto"/>
            <w:hideMark/>
          </w:tcPr>
          <w:p w14:paraId="37BD3E0A"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13</w:t>
            </w:r>
          </w:p>
        </w:tc>
        <w:tc>
          <w:tcPr>
            <w:tcW w:w="0" w:type="auto"/>
            <w:hideMark/>
          </w:tcPr>
          <w:p w14:paraId="7201CDB6"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On the street</w:t>
            </w:r>
          </w:p>
        </w:tc>
        <w:tc>
          <w:tcPr>
            <w:tcW w:w="0" w:type="auto"/>
            <w:hideMark/>
          </w:tcPr>
          <w:p w14:paraId="4A3DB547"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w:t>
            </w:r>
          </w:p>
        </w:tc>
      </w:tr>
      <w:tr w:rsidR="00AC31F9" w:rsidRPr="000C5B3E" w14:paraId="343EAB02" w14:textId="77777777" w:rsidTr="00CA4EFC">
        <w:tc>
          <w:tcPr>
            <w:tcW w:w="0" w:type="auto"/>
            <w:hideMark/>
          </w:tcPr>
          <w:p w14:paraId="55E4C0C7"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P7</w:t>
            </w:r>
          </w:p>
        </w:tc>
        <w:tc>
          <w:tcPr>
            <w:tcW w:w="0" w:type="auto"/>
            <w:hideMark/>
          </w:tcPr>
          <w:p w14:paraId="43C476EC"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56</w:t>
            </w:r>
          </w:p>
        </w:tc>
        <w:tc>
          <w:tcPr>
            <w:tcW w:w="0" w:type="auto"/>
            <w:hideMark/>
          </w:tcPr>
          <w:p w14:paraId="63131366"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Female</w:t>
            </w:r>
          </w:p>
        </w:tc>
        <w:tc>
          <w:tcPr>
            <w:tcW w:w="0" w:type="auto"/>
            <w:hideMark/>
          </w:tcPr>
          <w:p w14:paraId="6DDC1DD2"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31</w:t>
            </w:r>
          </w:p>
        </w:tc>
        <w:tc>
          <w:tcPr>
            <w:tcW w:w="0" w:type="auto"/>
            <w:hideMark/>
          </w:tcPr>
          <w:p w14:paraId="30710577"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Neighborhood pharmacy</w:t>
            </w:r>
          </w:p>
        </w:tc>
        <w:tc>
          <w:tcPr>
            <w:tcW w:w="0" w:type="auto"/>
            <w:hideMark/>
          </w:tcPr>
          <w:p w14:paraId="7AEB6996"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 robbery/theft</w:t>
            </w:r>
          </w:p>
        </w:tc>
      </w:tr>
      <w:tr w:rsidR="00AC31F9" w:rsidRPr="000C5B3E" w14:paraId="0DC3B4B5" w14:textId="77777777" w:rsidTr="00CA4EFC">
        <w:tc>
          <w:tcPr>
            <w:tcW w:w="0" w:type="auto"/>
            <w:hideMark/>
          </w:tcPr>
          <w:p w14:paraId="63334DF5"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P8</w:t>
            </w:r>
          </w:p>
        </w:tc>
        <w:tc>
          <w:tcPr>
            <w:tcW w:w="0" w:type="auto"/>
            <w:hideMark/>
          </w:tcPr>
          <w:p w14:paraId="42428EDD"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55</w:t>
            </w:r>
          </w:p>
        </w:tc>
        <w:tc>
          <w:tcPr>
            <w:tcW w:w="0" w:type="auto"/>
            <w:hideMark/>
          </w:tcPr>
          <w:p w14:paraId="0E6F8C7B"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Female</w:t>
            </w:r>
          </w:p>
        </w:tc>
        <w:tc>
          <w:tcPr>
            <w:tcW w:w="0" w:type="auto"/>
            <w:hideMark/>
          </w:tcPr>
          <w:p w14:paraId="686CF624"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30</w:t>
            </w:r>
          </w:p>
        </w:tc>
        <w:tc>
          <w:tcPr>
            <w:tcW w:w="0" w:type="auto"/>
            <w:hideMark/>
          </w:tcPr>
          <w:p w14:paraId="372BAA68"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Across from a hospital</w:t>
            </w:r>
          </w:p>
        </w:tc>
        <w:tc>
          <w:tcPr>
            <w:tcW w:w="0" w:type="auto"/>
            <w:hideMark/>
          </w:tcPr>
          <w:p w14:paraId="21351DC4"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 physical</w:t>
            </w:r>
          </w:p>
        </w:tc>
      </w:tr>
      <w:tr w:rsidR="00AC31F9" w:rsidRPr="000C5B3E" w14:paraId="0212E168" w14:textId="77777777" w:rsidTr="00CA4EFC">
        <w:tc>
          <w:tcPr>
            <w:tcW w:w="0" w:type="auto"/>
            <w:hideMark/>
          </w:tcPr>
          <w:p w14:paraId="27F848B1"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P9</w:t>
            </w:r>
          </w:p>
        </w:tc>
        <w:tc>
          <w:tcPr>
            <w:tcW w:w="0" w:type="auto"/>
            <w:hideMark/>
          </w:tcPr>
          <w:p w14:paraId="7B0965F8"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27</w:t>
            </w:r>
          </w:p>
        </w:tc>
        <w:tc>
          <w:tcPr>
            <w:tcW w:w="0" w:type="auto"/>
            <w:hideMark/>
          </w:tcPr>
          <w:p w14:paraId="3299D9B9"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Male</w:t>
            </w:r>
          </w:p>
        </w:tc>
        <w:tc>
          <w:tcPr>
            <w:tcW w:w="0" w:type="auto"/>
            <w:hideMark/>
          </w:tcPr>
          <w:p w14:paraId="53426725"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w:t>
            </w:r>
          </w:p>
        </w:tc>
        <w:tc>
          <w:tcPr>
            <w:tcW w:w="0" w:type="auto"/>
            <w:hideMark/>
          </w:tcPr>
          <w:p w14:paraId="357BE796" w14:textId="77777777" w:rsidR="00AC31F9" w:rsidRPr="000C5B3E" w:rsidRDefault="00AC31F9" w:rsidP="00A255D4">
            <w:pPr>
              <w:spacing w:line="480" w:lineRule="auto"/>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Across from a health center</w:t>
            </w:r>
          </w:p>
        </w:tc>
        <w:tc>
          <w:tcPr>
            <w:tcW w:w="0" w:type="auto"/>
            <w:hideMark/>
          </w:tcPr>
          <w:p w14:paraId="6D70239B"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w:t>
            </w:r>
          </w:p>
        </w:tc>
      </w:tr>
      <w:tr w:rsidR="00AC31F9" w:rsidRPr="000C5B3E" w14:paraId="033D75F8" w14:textId="77777777" w:rsidTr="00CA4EFC">
        <w:tc>
          <w:tcPr>
            <w:tcW w:w="0" w:type="auto"/>
            <w:hideMark/>
          </w:tcPr>
          <w:p w14:paraId="295DFC12"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P10</w:t>
            </w:r>
          </w:p>
        </w:tc>
        <w:tc>
          <w:tcPr>
            <w:tcW w:w="0" w:type="auto"/>
            <w:hideMark/>
          </w:tcPr>
          <w:p w14:paraId="159BF53E"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25</w:t>
            </w:r>
          </w:p>
        </w:tc>
        <w:tc>
          <w:tcPr>
            <w:tcW w:w="0" w:type="auto"/>
            <w:hideMark/>
          </w:tcPr>
          <w:p w14:paraId="1B1C0692"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Male</w:t>
            </w:r>
          </w:p>
        </w:tc>
        <w:tc>
          <w:tcPr>
            <w:tcW w:w="0" w:type="auto"/>
            <w:hideMark/>
          </w:tcPr>
          <w:p w14:paraId="1D34C79D"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1</w:t>
            </w:r>
          </w:p>
        </w:tc>
        <w:tc>
          <w:tcPr>
            <w:tcW w:w="0" w:type="auto"/>
            <w:hideMark/>
          </w:tcPr>
          <w:p w14:paraId="0CDA8AD6"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On the street</w:t>
            </w:r>
          </w:p>
        </w:tc>
        <w:tc>
          <w:tcPr>
            <w:tcW w:w="0" w:type="auto"/>
            <w:hideMark/>
          </w:tcPr>
          <w:p w14:paraId="370CDB15"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None</w:t>
            </w:r>
          </w:p>
        </w:tc>
      </w:tr>
      <w:tr w:rsidR="00AC31F9" w:rsidRPr="000C5B3E" w14:paraId="22D049AE" w14:textId="77777777" w:rsidTr="00CA4EFC">
        <w:tc>
          <w:tcPr>
            <w:tcW w:w="0" w:type="auto"/>
            <w:hideMark/>
          </w:tcPr>
          <w:p w14:paraId="67E36D8E"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P11</w:t>
            </w:r>
          </w:p>
        </w:tc>
        <w:tc>
          <w:tcPr>
            <w:tcW w:w="0" w:type="auto"/>
            <w:hideMark/>
          </w:tcPr>
          <w:p w14:paraId="1AEEBEDA"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26</w:t>
            </w:r>
          </w:p>
        </w:tc>
        <w:tc>
          <w:tcPr>
            <w:tcW w:w="0" w:type="auto"/>
            <w:hideMark/>
          </w:tcPr>
          <w:p w14:paraId="541C68A4"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Male</w:t>
            </w:r>
          </w:p>
        </w:tc>
        <w:tc>
          <w:tcPr>
            <w:tcW w:w="0" w:type="auto"/>
            <w:hideMark/>
          </w:tcPr>
          <w:p w14:paraId="60E7454D"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2</w:t>
            </w:r>
          </w:p>
        </w:tc>
        <w:tc>
          <w:tcPr>
            <w:tcW w:w="0" w:type="auto"/>
            <w:hideMark/>
          </w:tcPr>
          <w:p w14:paraId="235A8021"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Neighborhood pharmacy</w:t>
            </w:r>
          </w:p>
        </w:tc>
        <w:tc>
          <w:tcPr>
            <w:tcW w:w="0" w:type="auto"/>
            <w:hideMark/>
          </w:tcPr>
          <w:p w14:paraId="61F22DB4"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w:t>
            </w:r>
          </w:p>
        </w:tc>
      </w:tr>
      <w:tr w:rsidR="00AC31F9" w:rsidRPr="000C5B3E" w14:paraId="3E3A7A07" w14:textId="77777777" w:rsidTr="00CA4EFC">
        <w:tc>
          <w:tcPr>
            <w:tcW w:w="0" w:type="auto"/>
            <w:hideMark/>
          </w:tcPr>
          <w:p w14:paraId="2BA75248"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P12</w:t>
            </w:r>
          </w:p>
        </w:tc>
        <w:tc>
          <w:tcPr>
            <w:tcW w:w="0" w:type="auto"/>
            <w:hideMark/>
          </w:tcPr>
          <w:p w14:paraId="4D0C653A"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36</w:t>
            </w:r>
          </w:p>
        </w:tc>
        <w:tc>
          <w:tcPr>
            <w:tcW w:w="0" w:type="auto"/>
            <w:hideMark/>
          </w:tcPr>
          <w:p w14:paraId="6F945070"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Female</w:t>
            </w:r>
          </w:p>
        </w:tc>
        <w:tc>
          <w:tcPr>
            <w:tcW w:w="0" w:type="auto"/>
            <w:hideMark/>
          </w:tcPr>
          <w:p w14:paraId="27DEC7E2" w14:textId="77777777" w:rsidR="00AC31F9" w:rsidRPr="000C5B3E" w:rsidRDefault="00AC31F9" w:rsidP="00A255D4">
            <w:pPr>
              <w:spacing w:line="480" w:lineRule="auto"/>
              <w:jc w:val="center"/>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11</w:t>
            </w:r>
          </w:p>
        </w:tc>
        <w:tc>
          <w:tcPr>
            <w:tcW w:w="0" w:type="auto"/>
            <w:hideMark/>
          </w:tcPr>
          <w:p w14:paraId="28A6F1DC"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On the street</w:t>
            </w:r>
          </w:p>
        </w:tc>
        <w:tc>
          <w:tcPr>
            <w:tcW w:w="0" w:type="auto"/>
            <w:hideMark/>
          </w:tcPr>
          <w:p w14:paraId="279946B6" w14:textId="77777777" w:rsidR="00AC31F9" w:rsidRPr="000C5B3E" w:rsidRDefault="00AC31F9" w:rsidP="00A255D4">
            <w:pPr>
              <w:spacing w:line="480" w:lineRule="auto"/>
              <w:jc w:val="both"/>
              <w:rPr>
                <w:rFonts w:ascii="Times New Roman" w:eastAsia="Calibri" w:hAnsi="Times New Roman" w:cs="Times New Roman"/>
                <w:kern w:val="0"/>
                <w:sz w:val="24"/>
                <w:szCs w:val="24"/>
                <w:lang w:val="en-US"/>
                <w14:ligatures w14:val="none"/>
              </w:rPr>
            </w:pPr>
            <w:r w:rsidRPr="000C5B3E">
              <w:rPr>
                <w:rFonts w:ascii="Times New Roman" w:eastAsia="Calibri" w:hAnsi="Times New Roman" w:cs="Times New Roman"/>
                <w:kern w:val="0"/>
                <w:sz w:val="24"/>
                <w:szCs w:val="24"/>
                <w:lang w:val="en-US"/>
                <w14:ligatures w14:val="none"/>
              </w:rPr>
              <w:t>Verbal</w:t>
            </w:r>
          </w:p>
        </w:tc>
      </w:tr>
    </w:tbl>
    <w:p w14:paraId="5BF08777" w14:textId="46ED51A3" w:rsidR="00A255D4" w:rsidRPr="000C5B3E" w:rsidRDefault="00A255D4" w:rsidP="002A6F88">
      <w:pPr>
        <w:spacing w:after="0" w:line="480" w:lineRule="auto"/>
        <w:jc w:val="both"/>
        <w:rPr>
          <w:rFonts w:ascii="Times New Roman" w:eastAsia="Times New Roman" w:hAnsi="Times New Roman" w:cs="Times New Roman"/>
          <w:kern w:val="0"/>
          <w:sz w:val="24"/>
          <w:szCs w:val="24"/>
          <w:lang w:eastAsia="tr-TR"/>
          <w14:ligatures w14:val="none"/>
        </w:rPr>
      </w:pPr>
    </w:p>
    <w:p w14:paraId="1CD8DEF0" w14:textId="551FC4EE" w:rsidR="000B6D63" w:rsidRPr="000C5B3E" w:rsidRDefault="00A255D4" w:rsidP="00A255D4">
      <w:pPr>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kern w:val="0"/>
          <w:sz w:val="24"/>
          <w:szCs w:val="24"/>
          <w:lang w:eastAsia="tr-TR"/>
          <w14:ligatures w14:val="none"/>
        </w:rPr>
        <w:br w:type="page"/>
      </w:r>
    </w:p>
    <w:p w14:paraId="3589C0E4" w14:textId="77777777" w:rsidR="000B6D63" w:rsidRPr="000C5B3E" w:rsidRDefault="000B6D63" w:rsidP="002A6F88">
      <w:pPr>
        <w:spacing w:before="100" w:beforeAutospacing="1" w:after="100" w:afterAutospacing="1" w:line="480" w:lineRule="auto"/>
        <w:jc w:val="both"/>
        <w:rPr>
          <w:rFonts w:ascii="Times New Roman" w:eastAsia="Times New Roman" w:hAnsi="Times New Roman" w:cs="Times New Roman"/>
          <w:kern w:val="0"/>
          <w:sz w:val="24"/>
          <w:szCs w:val="24"/>
          <w:lang w:eastAsia="tr-TR"/>
          <w14:ligatures w14:val="none"/>
        </w:rPr>
      </w:pPr>
      <w:r w:rsidRPr="000C5B3E">
        <w:rPr>
          <w:rFonts w:ascii="Times New Roman" w:eastAsia="Times New Roman" w:hAnsi="Times New Roman" w:cs="Times New Roman"/>
          <w:b/>
          <w:bCs/>
          <w:kern w:val="0"/>
          <w:sz w:val="24"/>
          <w:szCs w:val="24"/>
          <w:lang w:eastAsia="tr-TR"/>
          <w14:ligatures w14:val="none"/>
        </w:rPr>
        <w:lastRenderedPageBreak/>
        <w:t xml:space="preserve">Table 5. </w:t>
      </w:r>
      <w:r w:rsidRPr="000C5B3E">
        <w:rPr>
          <w:rFonts w:ascii="Times New Roman" w:eastAsia="Times New Roman" w:hAnsi="Times New Roman" w:cs="Times New Roman"/>
          <w:kern w:val="0"/>
          <w:sz w:val="24"/>
          <w:szCs w:val="24"/>
          <w:lang w:eastAsia="tr-TR"/>
          <w14:ligatures w14:val="none"/>
        </w:rPr>
        <w:t>Themes and sub-themes</w:t>
      </w:r>
    </w:p>
    <w:tbl>
      <w:tblPr>
        <w:tblStyle w:val="TabloKlavuzu1"/>
        <w:tblW w:w="0" w:type="auto"/>
        <w:tblLook w:val="04A0" w:firstRow="1" w:lastRow="0" w:firstColumn="1" w:lastColumn="0" w:noHBand="0" w:noVBand="1"/>
      </w:tblPr>
      <w:tblGrid>
        <w:gridCol w:w="2689"/>
        <w:gridCol w:w="5805"/>
      </w:tblGrid>
      <w:tr w:rsidR="00AC31F9" w:rsidRPr="000C5B3E" w14:paraId="52125BEA" w14:textId="77777777" w:rsidTr="00CA4EFC">
        <w:tc>
          <w:tcPr>
            <w:tcW w:w="2689" w:type="dxa"/>
          </w:tcPr>
          <w:p w14:paraId="2617EAAB" w14:textId="77777777" w:rsidR="00AC31F9" w:rsidRPr="000C5B3E" w:rsidRDefault="00AC31F9" w:rsidP="00A255D4">
            <w:pPr>
              <w:spacing w:line="480" w:lineRule="auto"/>
              <w:rPr>
                <w:rFonts w:ascii="Times New Roman" w:eastAsia="Aptos" w:hAnsi="Times New Roman" w:cs="Times New Roman"/>
                <w:bCs/>
                <w:kern w:val="0"/>
                <w:sz w:val="24"/>
                <w:szCs w:val="24"/>
                <w14:ligatures w14:val="none"/>
              </w:rPr>
            </w:pPr>
            <w:r w:rsidRPr="000C5B3E">
              <w:rPr>
                <w:rFonts w:ascii="Times New Roman" w:eastAsia="Aptos" w:hAnsi="Times New Roman" w:cs="Times New Roman"/>
                <w:bCs/>
                <w:kern w:val="0"/>
                <w:sz w:val="24"/>
                <w:szCs w:val="24"/>
                <w14:ligatures w14:val="none"/>
              </w:rPr>
              <w:t>Themes</w:t>
            </w:r>
          </w:p>
        </w:tc>
        <w:tc>
          <w:tcPr>
            <w:tcW w:w="5805" w:type="dxa"/>
          </w:tcPr>
          <w:p w14:paraId="7E926AA6" w14:textId="77777777" w:rsidR="00AC31F9" w:rsidRPr="000C5B3E" w:rsidRDefault="00AC31F9" w:rsidP="00A255D4">
            <w:pPr>
              <w:spacing w:line="480" w:lineRule="auto"/>
              <w:rPr>
                <w:rFonts w:ascii="Times New Roman" w:eastAsia="Aptos" w:hAnsi="Times New Roman" w:cs="Times New Roman"/>
                <w:bCs/>
                <w:kern w:val="0"/>
                <w:sz w:val="24"/>
                <w:szCs w:val="24"/>
                <w14:ligatures w14:val="none"/>
              </w:rPr>
            </w:pPr>
            <w:r w:rsidRPr="000C5B3E">
              <w:rPr>
                <w:rFonts w:ascii="Times New Roman" w:eastAsia="Aptos" w:hAnsi="Times New Roman" w:cs="Times New Roman"/>
                <w:bCs/>
                <w:kern w:val="0"/>
                <w:sz w:val="24"/>
                <w:szCs w:val="24"/>
                <w14:ligatures w14:val="none"/>
              </w:rPr>
              <w:t>Sub-themes</w:t>
            </w:r>
          </w:p>
        </w:tc>
      </w:tr>
      <w:tr w:rsidR="00AC31F9" w:rsidRPr="000C5B3E" w14:paraId="05D5FF46" w14:textId="77777777" w:rsidTr="00CA4EFC">
        <w:tc>
          <w:tcPr>
            <w:tcW w:w="2689" w:type="dxa"/>
          </w:tcPr>
          <w:p w14:paraId="255CF25B" w14:textId="77777777" w:rsidR="00AC31F9" w:rsidRPr="000C5B3E" w:rsidRDefault="00AC31F9" w:rsidP="00A255D4">
            <w:pPr>
              <w:spacing w:line="480" w:lineRule="auto"/>
              <w:rPr>
                <w:rFonts w:ascii="Times New Roman" w:eastAsia="Aptos" w:hAnsi="Times New Roman" w:cs="Times New Roman"/>
                <w:bCs/>
                <w:kern w:val="0"/>
                <w:sz w:val="24"/>
                <w:szCs w:val="24"/>
                <w14:ligatures w14:val="none"/>
              </w:rPr>
            </w:pPr>
            <w:bookmarkStart w:id="3" w:name="_Hlk180527815"/>
            <w:r w:rsidRPr="000C5B3E">
              <w:rPr>
                <w:rFonts w:ascii="Times New Roman" w:eastAsia="Aptos" w:hAnsi="Times New Roman" w:cs="Times New Roman"/>
                <w:bCs/>
                <w:kern w:val="0"/>
                <w:sz w:val="24"/>
                <w:szCs w:val="24"/>
                <w14:ligatures w14:val="none"/>
              </w:rPr>
              <w:t>1. Causes of violence</w:t>
            </w:r>
          </w:p>
          <w:p w14:paraId="79CA586F"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p>
        </w:tc>
        <w:tc>
          <w:tcPr>
            <w:tcW w:w="5805" w:type="dxa"/>
          </w:tcPr>
          <w:p w14:paraId="62AF902F"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1.1. Economic and Policy-Related Issues</w:t>
            </w:r>
          </w:p>
          <w:p w14:paraId="043B50A4"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1.2. Patient and Society-Related Circumstances</w:t>
            </w:r>
          </w:p>
          <w:p w14:paraId="729156D4"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1.3. Communication and Relationship-Related Problems</w:t>
            </w:r>
          </w:p>
          <w:p w14:paraId="4CBCE625"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1.4. Issues Related to Pharmacists' Working Conditions</w:t>
            </w:r>
          </w:p>
        </w:tc>
      </w:tr>
      <w:bookmarkEnd w:id="3"/>
      <w:tr w:rsidR="00AC31F9" w:rsidRPr="000C5B3E" w14:paraId="34374995" w14:textId="77777777" w:rsidTr="00CA4EFC">
        <w:tc>
          <w:tcPr>
            <w:tcW w:w="2689" w:type="dxa"/>
          </w:tcPr>
          <w:p w14:paraId="7DAECE22" w14:textId="77777777" w:rsidR="00AC31F9" w:rsidRPr="000C5B3E" w:rsidRDefault="00AC31F9" w:rsidP="00A255D4">
            <w:pPr>
              <w:spacing w:line="480" w:lineRule="auto"/>
              <w:rPr>
                <w:rFonts w:ascii="Times New Roman" w:eastAsia="Aptos" w:hAnsi="Times New Roman" w:cs="Times New Roman"/>
                <w:bCs/>
                <w:kern w:val="0"/>
                <w:sz w:val="24"/>
                <w:szCs w:val="24"/>
                <w14:ligatures w14:val="none"/>
              </w:rPr>
            </w:pPr>
            <w:r w:rsidRPr="000C5B3E">
              <w:rPr>
                <w:rFonts w:ascii="Times New Roman" w:eastAsia="Aptos" w:hAnsi="Times New Roman" w:cs="Times New Roman"/>
                <w:bCs/>
                <w:kern w:val="0"/>
                <w:sz w:val="24"/>
                <w:szCs w:val="24"/>
                <w14:ligatures w14:val="none"/>
              </w:rPr>
              <w:t>2. Reactions to violence</w:t>
            </w:r>
          </w:p>
          <w:p w14:paraId="3626E6EA"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p>
        </w:tc>
        <w:tc>
          <w:tcPr>
            <w:tcW w:w="5805" w:type="dxa"/>
          </w:tcPr>
          <w:p w14:paraId="0D755C87"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2.1. Reactions Following Violence</w:t>
            </w:r>
          </w:p>
          <w:p w14:paraId="6A6B5F63"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2.2. Problems Related to the Judiciary After Violence</w:t>
            </w:r>
          </w:p>
        </w:tc>
      </w:tr>
      <w:tr w:rsidR="00AC31F9" w:rsidRPr="000C5B3E" w14:paraId="0D38B95A" w14:textId="77777777" w:rsidTr="00CA4EFC">
        <w:tc>
          <w:tcPr>
            <w:tcW w:w="2689" w:type="dxa"/>
          </w:tcPr>
          <w:p w14:paraId="480EB331" w14:textId="77777777" w:rsidR="00AC31F9" w:rsidRPr="000C5B3E" w:rsidRDefault="00AC31F9" w:rsidP="00A255D4">
            <w:pPr>
              <w:spacing w:line="480" w:lineRule="auto"/>
              <w:rPr>
                <w:rFonts w:ascii="Times New Roman" w:eastAsia="Aptos" w:hAnsi="Times New Roman" w:cs="Times New Roman"/>
                <w:bCs/>
                <w:kern w:val="0"/>
                <w:sz w:val="24"/>
                <w:szCs w:val="24"/>
                <w14:ligatures w14:val="none"/>
              </w:rPr>
            </w:pPr>
            <w:r w:rsidRPr="000C5B3E">
              <w:rPr>
                <w:rFonts w:ascii="Times New Roman" w:eastAsia="Aptos" w:hAnsi="Times New Roman" w:cs="Times New Roman"/>
                <w:bCs/>
                <w:kern w:val="0"/>
                <w:sz w:val="24"/>
                <w:szCs w:val="24"/>
                <w14:ligatures w14:val="none"/>
              </w:rPr>
              <w:t>3. Emotional and professional impact</w:t>
            </w:r>
          </w:p>
          <w:p w14:paraId="76FD4560"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p>
        </w:tc>
        <w:tc>
          <w:tcPr>
            <w:tcW w:w="5805" w:type="dxa"/>
          </w:tcPr>
          <w:p w14:paraId="6D5B6743"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3.1. Post-Violence Emotions</w:t>
            </w:r>
          </w:p>
          <w:p w14:paraId="66956B0D"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3.2. The Effects of Violence on the Profession</w:t>
            </w:r>
          </w:p>
        </w:tc>
      </w:tr>
      <w:tr w:rsidR="00AC31F9" w:rsidRPr="00AC31F9" w14:paraId="5A7AE5BA" w14:textId="77777777" w:rsidTr="00CA4EFC">
        <w:tc>
          <w:tcPr>
            <w:tcW w:w="2689" w:type="dxa"/>
          </w:tcPr>
          <w:p w14:paraId="542B6D30" w14:textId="77777777" w:rsidR="00AC31F9" w:rsidRPr="000C5B3E" w:rsidRDefault="00AC31F9" w:rsidP="00A255D4">
            <w:pPr>
              <w:spacing w:line="480" w:lineRule="auto"/>
              <w:rPr>
                <w:rFonts w:ascii="Times New Roman" w:eastAsia="Aptos" w:hAnsi="Times New Roman" w:cs="Times New Roman"/>
                <w:bCs/>
                <w:kern w:val="0"/>
                <w:sz w:val="24"/>
                <w:szCs w:val="24"/>
                <w14:ligatures w14:val="none"/>
              </w:rPr>
            </w:pPr>
            <w:r w:rsidRPr="000C5B3E">
              <w:rPr>
                <w:rFonts w:ascii="Times New Roman" w:eastAsia="Aptos" w:hAnsi="Times New Roman" w:cs="Times New Roman"/>
                <w:bCs/>
                <w:kern w:val="0"/>
                <w:sz w:val="24"/>
                <w:szCs w:val="24"/>
                <w14:ligatures w14:val="none"/>
              </w:rPr>
              <w:t>4. Protective measures and recommendations</w:t>
            </w:r>
          </w:p>
          <w:p w14:paraId="2108ACD2"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p>
        </w:tc>
        <w:tc>
          <w:tcPr>
            <w:tcW w:w="5805" w:type="dxa"/>
          </w:tcPr>
          <w:p w14:paraId="64DABAB8"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4.1. Existing Security Measures in the Pharmacy</w:t>
            </w:r>
          </w:p>
          <w:p w14:paraId="363A1B28" w14:textId="77777777" w:rsidR="00AC31F9" w:rsidRPr="000C5B3E"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4.2. Additional Measures Taken After a Violent Incident</w:t>
            </w:r>
          </w:p>
          <w:p w14:paraId="6E30A01A" w14:textId="77777777" w:rsidR="00AC31F9" w:rsidRPr="00AC31F9" w:rsidRDefault="00AC31F9" w:rsidP="00A255D4">
            <w:pPr>
              <w:spacing w:line="480" w:lineRule="auto"/>
              <w:rPr>
                <w:rFonts w:ascii="Times New Roman" w:eastAsia="Aptos" w:hAnsi="Times New Roman" w:cs="Times New Roman"/>
                <w:kern w:val="0"/>
                <w:sz w:val="24"/>
                <w:szCs w:val="24"/>
                <w14:ligatures w14:val="none"/>
              </w:rPr>
            </w:pPr>
            <w:r w:rsidRPr="000C5B3E">
              <w:rPr>
                <w:rFonts w:ascii="Times New Roman" w:eastAsia="Aptos" w:hAnsi="Times New Roman" w:cs="Times New Roman"/>
                <w:kern w:val="0"/>
                <w:sz w:val="24"/>
                <w:szCs w:val="24"/>
                <w14:ligatures w14:val="none"/>
              </w:rPr>
              <w:t>4.3. Measures That Need to Be Taken Against Violence</w:t>
            </w:r>
          </w:p>
        </w:tc>
      </w:tr>
    </w:tbl>
    <w:p w14:paraId="63754D00" w14:textId="77777777" w:rsidR="00AC31F9" w:rsidRDefault="00AC31F9" w:rsidP="002A6F88">
      <w:pPr>
        <w:spacing w:before="100" w:beforeAutospacing="1" w:after="100" w:afterAutospacing="1" w:line="480" w:lineRule="auto"/>
        <w:jc w:val="both"/>
        <w:rPr>
          <w:rFonts w:ascii="Times New Roman" w:eastAsia="Times New Roman" w:hAnsi="Times New Roman" w:cs="Times New Roman"/>
          <w:b/>
          <w:bCs/>
          <w:kern w:val="0"/>
          <w:sz w:val="24"/>
          <w:szCs w:val="24"/>
          <w:lang w:eastAsia="tr-TR"/>
          <w14:ligatures w14:val="none"/>
        </w:rPr>
      </w:pPr>
    </w:p>
    <w:sectPr w:rsidR="00AC31F9">
      <w:footerReference w:type="default" r:id="rId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75C73" w14:textId="77777777" w:rsidR="00D54FDC" w:rsidRDefault="00D54FDC" w:rsidP="003E6FF6">
      <w:pPr>
        <w:spacing w:after="0" w:line="240" w:lineRule="auto"/>
      </w:pPr>
      <w:r>
        <w:separator/>
      </w:r>
    </w:p>
  </w:endnote>
  <w:endnote w:type="continuationSeparator" w:id="0">
    <w:p w14:paraId="065B2F8A" w14:textId="77777777" w:rsidR="00D54FDC" w:rsidRDefault="00D54FDC" w:rsidP="003E6F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1748238"/>
      <w:docPartObj>
        <w:docPartGallery w:val="Page Numbers (Bottom of Page)"/>
        <w:docPartUnique/>
      </w:docPartObj>
    </w:sdtPr>
    <w:sdtEndPr/>
    <w:sdtContent>
      <w:p w14:paraId="349A9DDD" w14:textId="0E1BA22D" w:rsidR="003E6FF6" w:rsidRDefault="003E6FF6">
        <w:pPr>
          <w:pStyle w:val="AltBilgi"/>
          <w:jc w:val="right"/>
        </w:pPr>
        <w:r>
          <w:fldChar w:fldCharType="begin"/>
        </w:r>
        <w:r>
          <w:instrText>PAGE   \* MERGEFORMAT</w:instrText>
        </w:r>
        <w:r>
          <w:fldChar w:fldCharType="separate"/>
        </w:r>
        <w:r>
          <w:t>2</w:t>
        </w:r>
        <w:r>
          <w:fldChar w:fldCharType="end"/>
        </w:r>
      </w:p>
    </w:sdtContent>
  </w:sdt>
  <w:p w14:paraId="51663849" w14:textId="77777777" w:rsidR="003E6FF6" w:rsidRDefault="003E6FF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09416" w14:textId="77777777" w:rsidR="00D54FDC" w:rsidRDefault="00D54FDC" w:rsidP="003E6FF6">
      <w:pPr>
        <w:spacing w:after="0" w:line="240" w:lineRule="auto"/>
      </w:pPr>
      <w:r>
        <w:separator/>
      </w:r>
    </w:p>
  </w:footnote>
  <w:footnote w:type="continuationSeparator" w:id="0">
    <w:p w14:paraId="595A875A" w14:textId="77777777" w:rsidR="00D54FDC" w:rsidRDefault="00D54FDC" w:rsidP="003E6F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582CBC"/>
    <w:multiLevelType w:val="multilevel"/>
    <w:tmpl w:val="AC224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C1F71E6"/>
    <w:multiLevelType w:val="multilevel"/>
    <w:tmpl w:val="9F086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9439031">
    <w:abstractNumId w:val="1"/>
  </w:num>
  <w:num w:numId="2" w16cid:durableId="815102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D63"/>
    <w:rsid w:val="00006858"/>
    <w:rsid w:val="000B6D63"/>
    <w:rsid w:val="000C5B3E"/>
    <w:rsid w:val="000D732C"/>
    <w:rsid w:val="000E0D01"/>
    <w:rsid w:val="001042E8"/>
    <w:rsid w:val="00110FEA"/>
    <w:rsid w:val="00145F7B"/>
    <w:rsid w:val="001A3A1F"/>
    <w:rsid w:val="001A5799"/>
    <w:rsid w:val="00272E75"/>
    <w:rsid w:val="002A6F88"/>
    <w:rsid w:val="00372672"/>
    <w:rsid w:val="0038253E"/>
    <w:rsid w:val="00395658"/>
    <w:rsid w:val="003A3777"/>
    <w:rsid w:val="003B3A1F"/>
    <w:rsid w:val="003D48D6"/>
    <w:rsid w:val="003E6FF6"/>
    <w:rsid w:val="003F214E"/>
    <w:rsid w:val="00403B5D"/>
    <w:rsid w:val="004220B9"/>
    <w:rsid w:val="0048680F"/>
    <w:rsid w:val="005743D5"/>
    <w:rsid w:val="00587ECB"/>
    <w:rsid w:val="005E7342"/>
    <w:rsid w:val="007422FD"/>
    <w:rsid w:val="007F499C"/>
    <w:rsid w:val="00807248"/>
    <w:rsid w:val="00917202"/>
    <w:rsid w:val="00924AE9"/>
    <w:rsid w:val="0099405B"/>
    <w:rsid w:val="00A02A48"/>
    <w:rsid w:val="00A16404"/>
    <w:rsid w:val="00A255D4"/>
    <w:rsid w:val="00A8296D"/>
    <w:rsid w:val="00A868FB"/>
    <w:rsid w:val="00AC31F9"/>
    <w:rsid w:val="00AF20DC"/>
    <w:rsid w:val="00B32584"/>
    <w:rsid w:val="00B61933"/>
    <w:rsid w:val="00B62582"/>
    <w:rsid w:val="00B91B53"/>
    <w:rsid w:val="00BB5B42"/>
    <w:rsid w:val="00BE6B77"/>
    <w:rsid w:val="00C24CB2"/>
    <w:rsid w:val="00C44E97"/>
    <w:rsid w:val="00D3109B"/>
    <w:rsid w:val="00D54FDC"/>
    <w:rsid w:val="00D7386B"/>
    <w:rsid w:val="00D91901"/>
    <w:rsid w:val="00DB1598"/>
    <w:rsid w:val="00E04F64"/>
    <w:rsid w:val="00E641DF"/>
    <w:rsid w:val="00E94921"/>
    <w:rsid w:val="00EB32DB"/>
    <w:rsid w:val="00EC7EC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0FDE8"/>
  <w15:chartTrackingRefBased/>
  <w15:docId w15:val="{73386380-3FFB-4411-A056-4881B7039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0B6D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0B6D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0B6D63"/>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0B6D63"/>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0B6D63"/>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0B6D63"/>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B6D63"/>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B6D63"/>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B6D63"/>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B6D63"/>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0B6D63"/>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0B6D63"/>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0B6D63"/>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0B6D63"/>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0B6D6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B6D6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B6D6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B6D63"/>
    <w:rPr>
      <w:rFonts w:eastAsiaTheme="majorEastAsia" w:cstheme="majorBidi"/>
      <w:color w:val="272727" w:themeColor="text1" w:themeTint="D8"/>
    </w:rPr>
  </w:style>
  <w:style w:type="paragraph" w:styleId="KonuBal">
    <w:name w:val="Title"/>
    <w:basedOn w:val="Normal"/>
    <w:next w:val="Normal"/>
    <w:link w:val="KonuBalChar"/>
    <w:uiPriority w:val="10"/>
    <w:qFormat/>
    <w:rsid w:val="000B6D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B6D6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B6D63"/>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B6D6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B6D63"/>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0B6D63"/>
    <w:rPr>
      <w:i/>
      <w:iCs/>
      <w:color w:val="404040" w:themeColor="text1" w:themeTint="BF"/>
    </w:rPr>
  </w:style>
  <w:style w:type="paragraph" w:styleId="ListeParagraf">
    <w:name w:val="List Paragraph"/>
    <w:basedOn w:val="Normal"/>
    <w:uiPriority w:val="34"/>
    <w:qFormat/>
    <w:rsid w:val="000B6D63"/>
    <w:pPr>
      <w:ind w:left="720"/>
      <w:contextualSpacing/>
    </w:pPr>
  </w:style>
  <w:style w:type="character" w:styleId="GlVurgulama">
    <w:name w:val="Intense Emphasis"/>
    <w:basedOn w:val="VarsaylanParagrafYazTipi"/>
    <w:uiPriority w:val="21"/>
    <w:qFormat/>
    <w:rsid w:val="000B6D63"/>
    <w:rPr>
      <w:i/>
      <w:iCs/>
      <w:color w:val="2F5496" w:themeColor="accent1" w:themeShade="BF"/>
    </w:rPr>
  </w:style>
  <w:style w:type="paragraph" w:styleId="GlAlnt">
    <w:name w:val="Intense Quote"/>
    <w:basedOn w:val="Normal"/>
    <w:next w:val="Normal"/>
    <w:link w:val="GlAlntChar"/>
    <w:uiPriority w:val="30"/>
    <w:qFormat/>
    <w:rsid w:val="000B6D6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0B6D63"/>
    <w:rPr>
      <w:i/>
      <w:iCs/>
      <w:color w:val="2F5496" w:themeColor="accent1" w:themeShade="BF"/>
    </w:rPr>
  </w:style>
  <w:style w:type="character" w:styleId="GlBavuru">
    <w:name w:val="Intense Reference"/>
    <w:basedOn w:val="VarsaylanParagrafYazTipi"/>
    <w:uiPriority w:val="32"/>
    <w:qFormat/>
    <w:rsid w:val="000B6D63"/>
    <w:rPr>
      <w:b/>
      <w:bCs/>
      <w:smallCaps/>
      <w:color w:val="2F5496" w:themeColor="accent1" w:themeShade="BF"/>
      <w:spacing w:val="5"/>
    </w:rPr>
  </w:style>
  <w:style w:type="paragraph" w:styleId="stBilgi">
    <w:name w:val="header"/>
    <w:basedOn w:val="Normal"/>
    <w:link w:val="stBilgiChar"/>
    <w:uiPriority w:val="99"/>
    <w:unhideWhenUsed/>
    <w:rsid w:val="003E6FF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E6FF6"/>
  </w:style>
  <w:style w:type="paragraph" w:styleId="AltBilgi">
    <w:name w:val="footer"/>
    <w:basedOn w:val="Normal"/>
    <w:link w:val="AltBilgiChar"/>
    <w:uiPriority w:val="99"/>
    <w:unhideWhenUsed/>
    <w:rsid w:val="003E6FF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E6FF6"/>
  </w:style>
  <w:style w:type="paragraph" w:styleId="NormalWeb">
    <w:name w:val="Normal (Web)"/>
    <w:basedOn w:val="Normal"/>
    <w:link w:val="NormalWebChar"/>
    <w:uiPriority w:val="99"/>
    <w:unhideWhenUsed/>
    <w:rsid w:val="00BB5B42"/>
    <w:rPr>
      <w:rFonts w:ascii="Times New Roman" w:hAnsi="Times New Roman" w:cs="Times New Roman"/>
      <w:sz w:val="24"/>
      <w:szCs w:val="24"/>
    </w:rPr>
  </w:style>
  <w:style w:type="table" w:styleId="TabloKlavuzu">
    <w:name w:val="Table Grid"/>
    <w:basedOn w:val="NormalTablo"/>
    <w:uiPriority w:val="39"/>
    <w:rsid w:val="00E641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NormalTablo"/>
    <w:next w:val="TabloKlavuzu"/>
    <w:uiPriority w:val="39"/>
    <w:rsid w:val="00AC31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uiPriority w:val="59"/>
    <w:rsid w:val="00AC31F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Title">
    <w:name w:val="Paper Title"/>
    <w:next w:val="Normal"/>
    <w:qFormat/>
    <w:rsid w:val="0048680F"/>
    <w:pPr>
      <w:spacing w:after="0" w:line="480" w:lineRule="auto"/>
      <w:jc w:val="center"/>
    </w:pPr>
    <w:rPr>
      <w:rFonts w:ascii="Times New Roman" w:hAnsi="Times New Roman"/>
      <w:b/>
      <w:color w:val="000000" w:themeColor="text1"/>
      <w:kern w:val="0"/>
      <w:sz w:val="24"/>
      <w:lang w:val="en-US"/>
      <w14:ligatures w14:val="none"/>
    </w:rPr>
  </w:style>
  <w:style w:type="paragraph" w:customStyle="1" w:styleId="PaperAuthor">
    <w:name w:val="Paper Author"/>
    <w:next w:val="Affiliation"/>
    <w:qFormat/>
    <w:rsid w:val="0048680F"/>
    <w:pPr>
      <w:spacing w:after="0" w:line="480" w:lineRule="auto"/>
      <w:jc w:val="center"/>
    </w:pPr>
    <w:rPr>
      <w:rFonts w:ascii="Times New Roman" w:hAnsi="Times New Roman"/>
      <w:color w:val="000000" w:themeColor="text1"/>
      <w:kern w:val="0"/>
      <w:sz w:val="24"/>
      <w:lang w:val="en-US"/>
      <w14:ligatures w14:val="none"/>
    </w:rPr>
  </w:style>
  <w:style w:type="paragraph" w:customStyle="1" w:styleId="Affiliation">
    <w:name w:val="Affiliation"/>
    <w:qFormat/>
    <w:rsid w:val="0048680F"/>
    <w:pPr>
      <w:spacing w:after="0" w:line="480" w:lineRule="auto"/>
      <w:jc w:val="center"/>
    </w:pPr>
    <w:rPr>
      <w:rFonts w:ascii="Times New Roman" w:hAnsi="Times New Roman"/>
      <w:color w:val="000000" w:themeColor="text1"/>
      <w:kern w:val="0"/>
      <w:sz w:val="24"/>
      <w:lang w:val="en-US"/>
      <w14:ligatures w14:val="none"/>
    </w:rPr>
  </w:style>
  <w:style w:type="character" w:styleId="Kpr">
    <w:name w:val="Hyperlink"/>
    <w:basedOn w:val="VarsaylanParagrafYazTipi"/>
    <w:uiPriority w:val="99"/>
    <w:unhideWhenUsed/>
    <w:rsid w:val="0048680F"/>
    <w:rPr>
      <w:color w:val="0563C1" w:themeColor="hyperlink"/>
      <w:u w:val="single"/>
    </w:rPr>
  </w:style>
  <w:style w:type="character" w:customStyle="1" w:styleId="NormalWebChar">
    <w:name w:val="Normal (Web) Char"/>
    <w:basedOn w:val="VarsaylanParagrafYazTipi"/>
    <w:link w:val="NormalWeb"/>
    <w:uiPriority w:val="99"/>
    <w:rsid w:val="0048680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36/oemed-2019-105849" TargetMode="External"/><Relationship Id="rId13" Type="http://schemas.openxmlformats.org/officeDocument/2006/relationships/hyperlink" Target="https://doi.org/10.1111/j.2042-7174.1996.tb00856.x" TargetMode="External"/><Relationship Id="rId18" Type="http://schemas.openxmlformats.org/officeDocument/2006/relationships/hyperlink" Target="https://doi.org/10.1331/JAPhA.2010.09094" TargetMode="External"/><Relationship Id="rId26" Type="http://schemas.openxmlformats.org/officeDocument/2006/relationships/hyperlink" Target="https://doi.org/10.1016/j.rcsop.2023.100329" TargetMode="External"/><Relationship Id="rId3" Type="http://schemas.openxmlformats.org/officeDocument/2006/relationships/settings" Target="settings.xml"/><Relationship Id="rId21" Type="http://schemas.openxmlformats.org/officeDocument/2006/relationships/hyperlink" Target="https://doi.org/10.1080/2159676X.2019.1628806" TargetMode="External"/><Relationship Id="rId7" Type="http://schemas.openxmlformats.org/officeDocument/2006/relationships/hyperlink" Target="mailto:hilalilbars@gmail.com" TargetMode="External"/><Relationship Id="rId12" Type="http://schemas.openxmlformats.org/officeDocument/2006/relationships/hyperlink" Target="https://doi.org/10.1007/s11096-011-9492-3" TargetMode="External"/><Relationship Id="rId17" Type="http://schemas.openxmlformats.org/officeDocument/2006/relationships/hyperlink" Target="https://dx.doi.org/10.18549/pharmpract.2020.4.2080" TargetMode="External"/><Relationship Id="rId25" Type="http://schemas.openxmlformats.org/officeDocument/2006/relationships/hyperlink" Target="https://doi.org/10.1111/j.1365-2524.2011.00997.x" TargetMode="External"/><Relationship Id="rId2" Type="http://schemas.openxmlformats.org/officeDocument/2006/relationships/styles" Target="styles.xml"/><Relationship Id="rId16" Type="http://schemas.openxmlformats.org/officeDocument/2006/relationships/hyperlink" Target="https://doi.org/10.21608/ejom.2020.118352" TargetMode="External"/><Relationship Id="rId20" Type="http://schemas.openxmlformats.org/officeDocument/2006/relationships/hyperlink" Target="https://doi.org/10.1016/0005-7967(94)00075-U"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2147/RMHP.S509895" TargetMode="External"/><Relationship Id="rId24" Type="http://schemas.openxmlformats.org/officeDocument/2006/relationships/hyperlink" Target="https://doi.org/10.1186/s12913-023-09422-7" TargetMode="External"/><Relationship Id="rId5" Type="http://schemas.openxmlformats.org/officeDocument/2006/relationships/footnotes" Target="footnotes.xml"/><Relationship Id="rId15" Type="http://schemas.openxmlformats.org/officeDocument/2006/relationships/hyperlink" Target="https://doi.org/10.1093/occmed/kqs154" TargetMode="External"/><Relationship Id="rId23" Type="http://schemas.openxmlformats.org/officeDocument/2006/relationships/hyperlink" Target="https://doi.org/10.1016/j.japh.2022.07.012" TargetMode="External"/><Relationship Id="rId28" Type="http://schemas.openxmlformats.org/officeDocument/2006/relationships/fontTable" Target="fontTable.xml"/><Relationship Id="rId10" Type="http://schemas.openxmlformats.org/officeDocument/2006/relationships/hyperlink" Target="https://doi.org/10.20518/tjph.680771" TargetMode="External"/><Relationship Id="rId19" Type="http://schemas.openxmlformats.org/officeDocument/2006/relationships/hyperlink" Target="https://doi.org/10.1093/pubmed/fdab375" TargetMode="External"/><Relationship Id="rId4" Type="http://schemas.openxmlformats.org/officeDocument/2006/relationships/webSettings" Target="webSettings.xml"/><Relationship Id="rId9" Type="http://schemas.openxmlformats.org/officeDocument/2006/relationships/hyperlink" Target="https://doi.org/10.1177/0886260515591976" TargetMode="External"/><Relationship Id="rId14" Type="http://schemas.openxmlformats.org/officeDocument/2006/relationships/hyperlink" Target="https://doi.org/10.1111/j.2042-7174.1996.tb00857.x" TargetMode="External"/><Relationship Id="rId22" Type="http://schemas.openxmlformats.org/officeDocument/2006/relationships/hyperlink" Target="https://doi.org/10.3390/pharmacy12030088" TargetMode="External"/><Relationship Id="rId27"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30</Pages>
  <Words>7171</Words>
  <Characters>40878</Characters>
  <Application>Microsoft Office Word</Application>
  <DocSecurity>0</DocSecurity>
  <Lines>340</Lines>
  <Paragraphs>95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Hilal İlbars</dc:creator>
  <cp:keywords/>
  <dc:description/>
  <cp:lastModifiedBy>Hilal İlbars</cp:lastModifiedBy>
  <cp:revision>22</cp:revision>
  <dcterms:created xsi:type="dcterms:W3CDTF">2025-12-05T14:34:00Z</dcterms:created>
  <dcterms:modified xsi:type="dcterms:W3CDTF">2025-12-06T15:29:00Z</dcterms:modified>
</cp:coreProperties>
</file>